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9628" w14:textId="1F8118A9" w:rsidR="00B2556D" w:rsidRPr="003D312E" w:rsidRDefault="00B2556D" w:rsidP="003D312E">
      <w:pPr>
        <w:jc w:val="center"/>
        <w:rPr>
          <w:rFonts w:asciiTheme="majorHAnsi" w:hAnsiTheme="majorHAnsi" w:cstheme="majorHAnsi"/>
          <w:b/>
          <w:bCs/>
          <w:sz w:val="36"/>
          <w:szCs w:val="36"/>
          <w:highlight w:val="darkYellow"/>
        </w:rPr>
      </w:pPr>
      <w:r w:rsidRPr="003D312E">
        <w:rPr>
          <w:rFonts w:asciiTheme="majorHAnsi" w:hAnsiTheme="majorHAnsi" w:cstheme="majorHAnsi"/>
          <w:b/>
          <w:bCs/>
          <w:sz w:val="36"/>
          <w:szCs w:val="36"/>
        </w:rPr>
        <w:t>V lednu až září 2021 byly oznámeny zakázky celkem v hodnotě 88,4 mld. Kč</w:t>
      </w:r>
    </w:p>
    <w:p w14:paraId="5CCF90D5" w14:textId="77777777" w:rsidR="003D312E" w:rsidRDefault="003D312E" w:rsidP="003D312E">
      <w:pPr>
        <w:spacing w:line="360" w:lineRule="auto"/>
        <w:jc w:val="both"/>
        <w:rPr>
          <w:rFonts w:asciiTheme="majorHAnsi" w:hAnsiTheme="majorHAnsi" w:cstheme="majorHAnsi"/>
          <w:b/>
          <w:bCs/>
        </w:rPr>
      </w:pPr>
    </w:p>
    <w:p w14:paraId="595AD094" w14:textId="241F38B7" w:rsidR="00C02F63" w:rsidRPr="003D312E" w:rsidRDefault="00512574" w:rsidP="003D312E">
      <w:pPr>
        <w:spacing w:line="360" w:lineRule="auto"/>
        <w:jc w:val="both"/>
        <w:rPr>
          <w:rFonts w:asciiTheme="majorHAnsi" w:hAnsiTheme="majorHAnsi" w:cstheme="majorHAnsi"/>
          <w:b/>
          <w:bCs/>
        </w:rPr>
      </w:pPr>
      <w:r w:rsidRPr="003D312E">
        <w:rPr>
          <w:rFonts w:asciiTheme="majorHAnsi" w:hAnsiTheme="majorHAnsi" w:cstheme="majorHAnsi"/>
          <w:b/>
          <w:bCs/>
        </w:rPr>
        <w:t xml:space="preserve">Praha 10.11.2021 - </w:t>
      </w:r>
      <w:r w:rsidR="00C02F63" w:rsidRPr="003D312E">
        <w:rPr>
          <w:rFonts w:asciiTheme="majorHAnsi" w:hAnsiTheme="majorHAnsi" w:cstheme="majorHAnsi"/>
          <w:b/>
          <w:bCs/>
        </w:rPr>
        <w:t>V lednu až září 2021 byly oznámeny zakázky celkem v hodnotě 88,4 mld. Kč, z toho bylo později zadáno 27,9 mld. Kč (tedy 32 % z oznámených). Skutečná zadaná hodnota jich byla 26,6 mld. Kč, protože zadaná hodnota byla o cca 5 % nižší než při oznámení. Z celkového objemu oznámených zakázek byly později zrušeny zakázky za 4,5 mld. Kč (tedy cca 5 % z oznámených). Po odečtení zadaných a zrušených zakázek zbývá v systému ještě 56,0 mld. Kč (tedy 63 %), které nebyly zatím zadány nebo zrušeny (případně informace, že se tak stalo, nebyla dodána).</w:t>
      </w:r>
      <w:r w:rsidRPr="003D312E">
        <w:rPr>
          <w:rFonts w:asciiTheme="majorHAnsi" w:hAnsiTheme="majorHAnsi" w:cstheme="majorHAnsi"/>
          <w:b/>
          <w:bCs/>
        </w:rPr>
        <w:t xml:space="preserve"> Vyplývá to z Kvartální analýzy českého stavebnictví Q4/2021 zpracované analytickou společností CEEC Research s.r.o. za podpory společnosti Cental Group a.s.</w:t>
      </w:r>
    </w:p>
    <w:p w14:paraId="69EA7FD6" w14:textId="0CCDE1FA" w:rsidR="00C02F63" w:rsidRPr="003D312E" w:rsidRDefault="00C02F63" w:rsidP="003D312E">
      <w:pPr>
        <w:spacing w:line="360" w:lineRule="auto"/>
        <w:jc w:val="both"/>
        <w:rPr>
          <w:rFonts w:asciiTheme="majorHAnsi" w:hAnsiTheme="majorHAnsi" w:cstheme="majorHAnsi"/>
          <w:bCs/>
        </w:rPr>
      </w:pPr>
      <w:r w:rsidRPr="003D312E">
        <w:rPr>
          <w:rFonts w:asciiTheme="majorHAnsi" w:hAnsiTheme="majorHAnsi" w:cstheme="majorHAnsi"/>
          <w:bCs/>
        </w:rPr>
        <w:t>V lednu až září 2021 bylo vydáno 1 153 řádných oznámení o zakázce, což je o 0,1 % více než ve stejném období minulého roku. Celková předpokládaná hodnota oznámení o zakázce v lednu až září 2021 činila 88,4 mld. Kč a byl zaznamenán její meziroční pokles o 29,0 %. Meziroční pokles hodnoty ovlivnila velká zakázka s hodnotou 10,8 mld. Kč na pražské metro od Dopravního podniku hl. m. Prahy oznámená v lednu 2020. Pokud bychom modelově posuzovali pouze zakázky s hodnotou pod 1 mld. Kč, dostaneme meziroční pokles hodnoty oznámených zakázek o 2,4 %.</w:t>
      </w:r>
      <w:r w:rsidR="00512574" w:rsidRPr="003D312E">
        <w:rPr>
          <w:rFonts w:asciiTheme="majorHAnsi" w:hAnsiTheme="majorHAnsi" w:cstheme="majorHAnsi"/>
          <w:bCs/>
        </w:rPr>
        <w:t xml:space="preserve"> K aktuální situaci se také vyjádřila </w:t>
      </w:r>
      <w:r w:rsidR="00512574" w:rsidRPr="003D312E">
        <w:rPr>
          <w:rFonts w:asciiTheme="majorHAnsi" w:hAnsiTheme="majorHAnsi" w:cstheme="majorHAnsi"/>
          <w:b/>
        </w:rPr>
        <w:t>ministryně financí ČR Alena Schillerová</w:t>
      </w:r>
      <w:r w:rsidR="00512574" w:rsidRPr="003D312E">
        <w:rPr>
          <w:rFonts w:asciiTheme="majorHAnsi" w:hAnsiTheme="majorHAnsi" w:cstheme="majorHAnsi"/>
          <w:bCs/>
        </w:rPr>
        <w:t>: „</w:t>
      </w:r>
      <w:r w:rsidRPr="003D312E">
        <w:rPr>
          <w:rFonts w:asciiTheme="majorHAnsi" w:hAnsiTheme="majorHAnsi" w:cstheme="majorHAnsi"/>
          <w:i/>
          <w:iCs/>
          <w:lang w:eastAsia="cs-CZ"/>
        </w:rPr>
        <w:t>Podle aktuálních čísel Českého statistického úřadu stavební výroba v Česku meziročně prudce roste a v srpnu mírně zrychlila meziroční růst na 1,2 procenta z červencových 0,5 procenta. Stavba cest nebo telekomunikačních a energetických sítí meziročně vzrostla o 2,1 procenta. Nejinak by tomu mělo být příští rok, kdy bychom se již neměli potýkat s covidovou pandemií jako dosud. Návrh státního rozpočtu na příští rok počítá s investicemi ve výši 218 miliard korun.</w:t>
      </w:r>
      <w:r w:rsidRPr="003D312E">
        <w:rPr>
          <w:rFonts w:asciiTheme="majorHAnsi" w:hAnsiTheme="majorHAnsi" w:cstheme="majorHAnsi"/>
          <w:i/>
          <w:iCs/>
        </w:rPr>
        <w:t xml:space="preserve"> </w:t>
      </w:r>
      <w:r w:rsidRPr="003D312E">
        <w:rPr>
          <w:rFonts w:asciiTheme="majorHAnsi" w:hAnsiTheme="majorHAnsi" w:cstheme="majorHAnsi"/>
          <w:i/>
          <w:iCs/>
          <w:lang w:eastAsia="cs-CZ"/>
        </w:rPr>
        <w:t>Domácí investice budou navíc posíleny o evropské peníze z Národního plánu obnovy, ve kterém je pro Českou republiku určena částka 180 miliard korun. V rámci předfinancování jsme již obdrželi prvních 23 miliard, z nichž ještě letos půjde 15 miliard na projekty Ministerstva dopravy a 1,2 miliardy na digitalizaci stavebního řízení. Významnými zadavateli veřejných zakázek jsou také samosprávy, které jsou i díky aktivnímu přispění státního rozpočtu ve velmi dobré kondici. Od letošního roku totiž došlo k významnému navýšení podílů obcí a krajů na sdílených daní.</w:t>
      </w:r>
      <w:r w:rsidRPr="003D312E">
        <w:rPr>
          <w:rFonts w:asciiTheme="majorHAnsi" w:hAnsiTheme="majorHAnsi" w:cstheme="majorHAnsi"/>
          <w:i/>
          <w:iCs/>
        </w:rPr>
        <w:t xml:space="preserve"> </w:t>
      </w:r>
      <w:r w:rsidRPr="003D312E">
        <w:rPr>
          <w:rFonts w:asciiTheme="majorHAnsi" w:hAnsiTheme="majorHAnsi" w:cstheme="majorHAnsi"/>
          <w:i/>
          <w:iCs/>
          <w:lang w:eastAsia="cs-CZ"/>
        </w:rPr>
        <w:t>Vynikající stav hospodaření samospráv potvrzují aktuální čísla, kdy kraje za srpen dosáhly přebytku 6 miliardy korun, obce dokonce 32,8 miliardy.</w:t>
      </w:r>
      <w:r w:rsidRPr="003D312E">
        <w:rPr>
          <w:rFonts w:asciiTheme="majorHAnsi" w:hAnsiTheme="majorHAnsi" w:cstheme="majorHAnsi"/>
          <w:i/>
          <w:iCs/>
        </w:rPr>
        <w:t xml:space="preserve"> </w:t>
      </w:r>
      <w:r w:rsidRPr="003D312E">
        <w:rPr>
          <w:rFonts w:asciiTheme="majorHAnsi" w:hAnsiTheme="majorHAnsi" w:cstheme="majorHAnsi"/>
          <w:i/>
          <w:iCs/>
          <w:lang w:eastAsia="cs-CZ"/>
        </w:rPr>
        <w:t>V roce 2022 by navíc daňové příjmy obcí ve srovnání s rokem 2021 měly vzrůst o 2,6 procenta na 251,2 miliardy korun</w:t>
      </w:r>
      <w:r w:rsidRPr="003D312E">
        <w:rPr>
          <w:rFonts w:asciiTheme="majorHAnsi" w:hAnsiTheme="majorHAnsi" w:cstheme="majorHAnsi"/>
          <w:i/>
          <w:iCs/>
        </w:rPr>
        <w:t>, čímž překonají úroveň v před covidovém roce 2019.</w:t>
      </w:r>
      <w:r w:rsidRPr="003D312E">
        <w:rPr>
          <w:rFonts w:asciiTheme="majorHAnsi" w:hAnsiTheme="majorHAnsi" w:cstheme="majorHAnsi"/>
          <w:i/>
          <w:iCs/>
          <w:lang w:eastAsia="cs-CZ"/>
        </w:rPr>
        <w:t xml:space="preserve"> Samosprávy mohou své disponibilní prostředky aktivně </w:t>
      </w:r>
      <w:r w:rsidRPr="003D312E">
        <w:rPr>
          <w:rFonts w:asciiTheme="majorHAnsi" w:hAnsiTheme="majorHAnsi" w:cstheme="majorHAnsi"/>
          <w:i/>
          <w:iCs/>
          <w:lang w:eastAsia="cs-CZ"/>
        </w:rPr>
        <w:lastRenderedPageBreak/>
        <w:t xml:space="preserve">přeměnit na investice </w:t>
      </w:r>
      <w:r w:rsidRPr="003D312E">
        <w:rPr>
          <w:rFonts w:asciiTheme="majorHAnsi" w:hAnsiTheme="majorHAnsi" w:cstheme="majorHAnsi"/>
          <w:lang w:eastAsia="cs-CZ"/>
        </w:rPr>
        <w:t>do svého rozvoje a tím dále podpořit pozitivní vývoj veřejných zakázek v letošním roce.</w:t>
      </w:r>
      <w:r w:rsidR="00512574" w:rsidRPr="003D312E">
        <w:rPr>
          <w:rFonts w:asciiTheme="majorHAnsi" w:hAnsiTheme="majorHAnsi" w:cstheme="majorHAnsi"/>
          <w:lang w:eastAsia="cs-CZ"/>
        </w:rPr>
        <w:t>“</w:t>
      </w:r>
    </w:p>
    <w:p w14:paraId="643736E4" w14:textId="77777777" w:rsidR="00C02F63" w:rsidRDefault="00C02F63" w:rsidP="00C02F63">
      <w:pPr>
        <w:rPr>
          <w:bCs/>
        </w:rPr>
      </w:pPr>
      <w:r>
        <w:rPr>
          <w:b/>
          <w:bCs/>
        </w:rPr>
        <w:t xml:space="preserve">Meziroční změny </w:t>
      </w:r>
      <w:r w:rsidRPr="003D312E">
        <w:rPr>
          <w:rFonts w:asciiTheme="majorHAnsi" w:hAnsiTheme="majorHAnsi" w:cstheme="majorHAnsi"/>
          <w:b/>
          <w:bCs/>
        </w:rPr>
        <w:t>oznámení</w:t>
      </w:r>
      <w:r>
        <w:rPr>
          <w:b/>
          <w:bCs/>
        </w:rPr>
        <w:t xml:space="preserve"> o zakázce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1740"/>
        <w:gridCol w:w="1063"/>
        <w:gridCol w:w="1051"/>
        <w:gridCol w:w="1062"/>
        <w:gridCol w:w="1068"/>
        <w:gridCol w:w="1046"/>
        <w:gridCol w:w="1064"/>
      </w:tblGrid>
      <w:tr w:rsidR="00C02F63" w14:paraId="1B49C5DD" w14:textId="77777777" w:rsidTr="00FF5645">
        <w:trPr>
          <w:cantSplit/>
          <w:trHeight w:val="284"/>
        </w:trPr>
        <w:tc>
          <w:tcPr>
            <w:tcW w:w="2694" w:type="dxa"/>
            <w:gridSpan w:val="2"/>
            <w:vMerge w:val="restart"/>
            <w:tcBorders>
              <w:top w:val="nil"/>
              <w:left w:val="nil"/>
            </w:tcBorders>
            <w:vAlign w:val="center"/>
          </w:tcPr>
          <w:p w14:paraId="3541B639" w14:textId="77777777" w:rsidR="00C02F63" w:rsidRDefault="00C02F63" w:rsidP="00FF5645">
            <w:pPr>
              <w:jc w:val="center"/>
              <w:rPr>
                <w:bCs/>
                <w:sz w:val="18"/>
              </w:rPr>
            </w:pPr>
            <w:r>
              <w:rPr>
                <w:bCs/>
                <w:sz w:val="18"/>
              </w:rPr>
              <w:t>Stavební zakázky</w:t>
            </w:r>
          </w:p>
        </w:tc>
        <w:tc>
          <w:tcPr>
            <w:tcW w:w="3223" w:type="dxa"/>
            <w:gridSpan w:val="3"/>
            <w:vAlign w:val="center"/>
          </w:tcPr>
          <w:p w14:paraId="34F88A0A" w14:textId="77777777" w:rsidR="00C02F63" w:rsidRDefault="00C02F63" w:rsidP="00FF5645">
            <w:pPr>
              <w:jc w:val="center"/>
              <w:rPr>
                <w:bCs/>
                <w:sz w:val="18"/>
              </w:rPr>
            </w:pPr>
            <w:r>
              <w:rPr>
                <w:bCs/>
                <w:sz w:val="18"/>
              </w:rPr>
              <w:t>Počet</w:t>
            </w:r>
          </w:p>
        </w:tc>
        <w:tc>
          <w:tcPr>
            <w:tcW w:w="3223" w:type="dxa"/>
            <w:gridSpan w:val="3"/>
            <w:vAlign w:val="center"/>
          </w:tcPr>
          <w:p w14:paraId="3DD47999" w14:textId="77777777" w:rsidR="00C02F63" w:rsidRDefault="00C02F63" w:rsidP="00FF5645">
            <w:pPr>
              <w:jc w:val="center"/>
              <w:rPr>
                <w:bCs/>
                <w:sz w:val="18"/>
              </w:rPr>
            </w:pPr>
            <w:r>
              <w:rPr>
                <w:bCs/>
                <w:sz w:val="18"/>
              </w:rPr>
              <w:t>Hodnota</w:t>
            </w:r>
          </w:p>
        </w:tc>
      </w:tr>
      <w:tr w:rsidR="00C02F63" w14:paraId="4AC2D233" w14:textId="77777777" w:rsidTr="00FF5645">
        <w:trPr>
          <w:cantSplit/>
          <w:trHeight w:val="284"/>
        </w:trPr>
        <w:tc>
          <w:tcPr>
            <w:tcW w:w="2694" w:type="dxa"/>
            <w:gridSpan w:val="2"/>
            <w:vMerge/>
            <w:tcBorders>
              <w:left w:val="nil"/>
              <w:bottom w:val="single" w:sz="4" w:space="0" w:color="auto"/>
            </w:tcBorders>
          </w:tcPr>
          <w:p w14:paraId="78387C9C" w14:textId="77777777" w:rsidR="00C02F63" w:rsidRDefault="00C02F63" w:rsidP="00FF5645">
            <w:pPr>
              <w:jc w:val="center"/>
              <w:rPr>
                <w:bCs/>
                <w:sz w:val="18"/>
              </w:rPr>
            </w:pPr>
          </w:p>
        </w:tc>
        <w:tc>
          <w:tcPr>
            <w:tcW w:w="1074" w:type="dxa"/>
            <w:tcBorders>
              <w:bottom w:val="single" w:sz="4" w:space="0" w:color="auto"/>
              <w:right w:val="single" w:sz="4" w:space="0" w:color="auto"/>
            </w:tcBorders>
            <w:vAlign w:val="center"/>
          </w:tcPr>
          <w:p w14:paraId="2A1157E5" w14:textId="77777777" w:rsidR="00C02F63" w:rsidRDefault="00C02F63" w:rsidP="00FF5645">
            <w:pPr>
              <w:jc w:val="center"/>
              <w:rPr>
                <w:bCs/>
                <w:sz w:val="18"/>
              </w:rPr>
            </w:pPr>
            <w:r>
              <w:rPr>
                <w:bCs/>
                <w:sz w:val="18"/>
              </w:rPr>
              <w:t>počet</w:t>
            </w:r>
          </w:p>
        </w:tc>
        <w:tc>
          <w:tcPr>
            <w:tcW w:w="2149" w:type="dxa"/>
            <w:gridSpan w:val="2"/>
            <w:tcBorders>
              <w:left w:val="single" w:sz="4" w:space="0" w:color="auto"/>
              <w:bottom w:val="single" w:sz="4" w:space="0" w:color="auto"/>
              <w:right w:val="single" w:sz="4" w:space="0" w:color="auto"/>
            </w:tcBorders>
            <w:vAlign w:val="center"/>
          </w:tcPr>
          <w:p w14:paraId="7665C354" w14:textId="77777777" w:rsidR="00C02F63" w:rsidRDefault="00C02F63" w:rsidP="00FF5645">
            <w:pPr>
              <w:jc w:val="center"/>
              <w:rPr>
                <w:bCs/>
                <w:sz w:val="18"/>
              </w:rPr>
            </w:pPr>
            <w:r>
              <w:rPr>
                <w:bCs/>
                <w:sz w:val="18"/>
                <w:szCs w:val="18"/>
              </w:rPr>
              <w:t>Meziroční změna v %</w:t>
            </w:r>
          </w:p>
        </w:tc>
        <w:tc>
          <w:tcPr>
            <w:tcW w:w="1074" w:type="dxa"/>
            <w:tcBorders>
              <w:left w:val="single" w:sz="4" w:space="0" w:color="auto"/>
              <w:bottom w:val="single" w:sz="4" w:space="0" w:color="auto"/>
            </w:tcBorders>
            <w:vAlign w:val="center"/>
          </w:tcPr>
          <w:p w14:paraId="3903773C" w14:textId="77777777" w:rsidR="00C02F63" w:rsidRDefault="00C02F63" w:rsidP="00FF5645">
            <w:pPr>
              <w:jc w:val="center"/>
              <w:rPr>
                <w:bCs/>
                <w:sz w:val="18"/>
              </w:rPr>
            </w:pPr>
            <w:r>
              <w:rPr>
                <w:bCs/>
                <w:sz w:val="18"/>
              </w:rPr>
              <w:t>mil. Kč</w:t>
            </w:r>
          </w:p>
        </w:tc>
        <w:tc>
          <w:tcPr>
            <w:tcW w:w="2149" w:type="dxa"/>
            <w:gridSpan w:val="2"/>
            <w:tcBorders>
              <w:left w:val="single" w:sz="4" w:space="0" w:color="auto"/>
              <w:bottom w:val="single" w:sz="4" w:space="0" w:color="auto"/>
            </w:tcBorders>
            <w:vAlign w:val="center"/>
          </w:tcPr>
          <w:p w14:paraId="55020D3D" w14:textId="77777777" w:rsidR="00C02F63" w:rsidRDefault="00C02F63" w:rsidP="00FF5645">
            <w:pPr>
              <w:jc w:val="center"/>
              <w:rPr>
                <w:bCs/>
                <w:sz w:val="18"/>
              </w:rPr>
            </w:pPr>
            <w:r>
              <w:rPr>
                <w:bCs/>
                <w:sz w:val="18"/>
                <w:szCs w:val="18"/>
              </w:rPr>
              <w:t>Meziroční změna v %</w:t>
            </w:r>
          </w:p>
        </w:tc>
      </w:tr>
      <w:tr w:rsidR="00C02F63" w14:paraId="4EC64EFD" w14:textId="77777777" w:rsidTr="00FF5645">
        <w:trPr>
          <w:cantSplit/>
          <w:trHeight w:val="284"/>
        </w:trPr>
        <w:tc>
          <w:tcPr>
            <w:tcW w:w="918" w:type="dxa"/>
            <w:vMerge w:val="restart"/>
            <w:vAlign w:val="center"/>
          </w:tcPr>
          <w:p w14:paraId="2F06BDBA" w14:textId="77777777" w:rsidR="00C02F63" w:rsidRDefault="00C02F63" w:rsidP="00FF5645">
            <w:pPr>
              <w:jc w:val="center"/>
              <w:rPr>
                <w:rFonts w:cs="Arial"/>
                <w:sz w:val="18"/>
                <w:szCs w:val="16"/>
              </w:rPr>
            </w:pPr>
            <w:r>
              <w:rPr>
                <w:rFonts w:cs="Arial"/>
                <w:sz w:val="18"/>
                <w:szCs w:val="16"/>
              </w:rPr>
              <w:t>2020</w:t>
            </w:r>
          </w:p>
        </w:tc>
        <w:tc>
          <w:tcPr>
            <w:tcW w:w="1776" w:type="dxa"/>
            <w:tcBorders>
              <w:top w:val="single" w:sz="4" w:space="0" w:color="auto"/>
              <w:bottom w:val="nil"/>
            </w:tcBorders>
            <w:vAlign w:val="center"/>
          </w:tcPr>
          <w:p w14:paraId="30A96230" w14:textId="77777777" w:rsidR="00C02F63" w:rsidRPr="008B09DA" w:rsidRDefault="00C02F63" w:rsidP="00FF5645">
            <w:pPr>
              <w:rPr>
                <w:bCs/>
                <w:sz w:val="18"/>
                <w:szCs w:val="18"/>
              </w:rPr>
            </w:pPr>
            <w:r w:rsidRPr="00A20616">
              <w:rPr>
                <w:bCs/>
                <w:sz w:val="18"/>
                <w:szCs w:val="18"/>
              </w:rPr>
              <w:t>1. čtvrtletí</w:t>
            </w:r>
          </w:p>
        </w:tc>
        <w:tc>
          <w:tcPr>
            <w:tcW w:w="1074" w:type="dxa"/>
            <w:tcBorders>
              <w:top w:val="single" w:sz="4" w:space="0" w:color="auto"/>
              <w:bottom w:val="nil"/>
              <w:right w:val="single" w:sz="4" w:space="0" w:color="auto"/>
            </w:tcBorders>
            <w:tcMar>
              <w:right w:w="284" w:type="dxa"/>
            </w:tcMar>
            <w:vAlign w:val="center"/>
          </w:tcPr>
          <w:p w14:paraId="6D288834" w14:textId="77777777" w:rsidR="00C02F63" w:rsidRPr="008B09DA" w:rsidRDefault="00C02F63" w:rsidP="00FF5645">
            <w:pPr>
              <w:jc w:val="right"/>
              <w:rPr>
                <w:rFonts w:cs="Arial"/>
                <w:sz w:val="18"/>
                <w:szCs w:val="18"/>
              </w:rPr>
            </w:pPr>
            <w:r w:rsidRPr="00CD6075">
              <w:rPr>
                <w:rFonts w:cs="Arial"/>
                <w:sz w:val="18"/>
                <w:szCs w:val="18"/>
              </w:rPr>
              <w:t>420</w:t>
            </w:r>
          </w:p>
        </w:tc>
        <w:tc>
          <w:tcPr>
            <w:tcW w:w="1074" w:type="dxa"/>
            <w:tcBorders>
              <w:top w:val="single" w:sz="4" w:space="0" w:color="auto"/>
              <w:left w:val="single" w:sz="4" w:space="0" w:color="auto"/>
              <w:bottom w:val="nil"/>
              <w:right w:val="nil"/>
            </w:tcBorders>
            <w:vAlign w:val="center"/>
          </w:tcPr>
          <w:p w14:paraId="46FE18A5" w14:textId="77777777" w:rsidR="00C02F63" w:rsidRPr="008B09DA" w:rsidRDefault="00C02F63" w:rsidP="00FF5645">
            <w:pPr>
              <w:jc w:val="center"/>
              <w:rPr>
                <w:bCs/>
                <w:color w:val="FF0000"/>
                <w:sz w:val="28"/>
                <w:szCs w:val="28"/>
              </w:rPr>
            </w:pPr>
            <w:r w:rsidRPr="00CD6075">
              <w:rPr>
                <w:bCs/>
                <w:color w:val="92D050"/>
                <w:sz w:val="28"/>
                <w:szCs w:val="28"/>
              </w:rPr>
              <w:sym w:font="Wingdings 3" w:char="F0C7"/>
            </w:r>
          </w:p>
        </w:tc>
        <w:tc>
          <w:tcPr>
            <w:tcW w:w="1075" w:type="dxa"/>
            <w:tcBorders>
              <w:top w:val="single" w:sz="4" w:space="0" w:color="auto"/>
              <w:left w:val="nil"/>
              <w:bottom w:val="nil"/>
              <w:right w:val="single" w:sz="4" w:space="0" w:color="auto"/>
            </w:tcBorders>
            <w:tcMar>
              <w:left w:w="0" w:type="dxa"/>
              <w:right w:w="284" w:type="dxa"/>
            </w:tcMar>
            <w:vAlign w:val="center"/>
          </w:tcPr>
          <w:p w14:paraId="1D043F32" w14:textId="77777777" w:rsidR="00C02F63" w:rsidRPr="008B09DA" w:rsidRDefault="00C02F63" w:rsidP="00FF5645">
            <w:pPr>
              <w:jc w:val="right"/>
              <w:rPr>
                <w:bCs/>
                <w:sz w:val="18"/>
              </w:rPr>
            </w:pPr>
            <w:r w:rsidRPr="00CD6075">
              <w:rPr>
                <w:bCs/>
                <w:sz w:val="18"/>
              </w:rPr>
              <w:t>+7,4</w:t>
            </w:r>
          </w:p>
        </w:tc>
        <w:tc>
          <w:tcPr>
            <w:tcW w:w="1074" w:type="dxa"/>
            <w:tcBorders>
              <w:top w:val="single" w:sz="4" w:space="0" w:color="auto"/>
              <w:left w:val="single" w:sz="4" w:space="0" w:color="auto"/>
              <w:bottom w:val="nil"/>
              <w:right w:val="single" w:sz="4" w:space="0" w:color="auto"/>
            </w:tcBorders>
            <w:tcMar>
              <w:right w:w="227" w:type="dxa"/>
            </w:tcMar>
            <w:vAlign w:val="center"/>
          </w:tcPr>
          <w:p w14:paraId="46F91F0E" w14:textId="77777777" w:rsidR="00C02F63" w:rsidRPr="008B09DA" w:rsidRDefault="00C02F63" w:rsidP="00FF5645">
            <w:pPr>
              <w:jc w:val="right"/>
              <w:rPr>
                <w:rFonts w:cs="Arial"/>
                <w:sz w:val="18"/>
                <w:szCs w:val="18"/>
              </w:rPr>
            </w:pPr>
            <w:r w:rsidRPr="00CD6075">
              <w:rPr>
                <w:rFonts w:cs="Arial"/>
                <w:sz w:val="18"/>
                <w:szCs w:val="18"/>
              </w:rPr>
              <w:t>4</w:t>
            </w:r>
            <w:r>
              <w:rPr>
                <w:rFonts w:cs="Arial"/>
                <w:sz w:val="18"/>
                <w:szCs w:val="18"/>
              </w:rPr>
              <w:t>9 609</w:t>
            </w:r>
          </w:p>
        </w:tc>
        <w:tc>
          <w:tcPr>
            <w:tcW w:w="1074" w:type="dxa"/>
            <w:tcBorders>
              <w:top w:val="single" w:sz="4" w:space="0" w:color="auto"/>
              <w:left w:val="single" w:sz="4" w:space="0" w:color="auto"/>
              <w:bottom w:val="nil"/>
              <w:right w:val="nil"/>
            </w:tcBorders>
            <w:tcMar>
              <w:left w:w="0" w:type="dxa"/>
              <w:right w:w="0" w:type="dxa"/>
            </w:tcMar>
            <w:vAlign w:val="center"/>
          </w:tcPr>
          <w:p w14:paraId="5E293746" w14:textId="77777777" w:rsidR="00C02F63" w:rsidRPr="008B09DA" w:rsidRDefault="00C02F63" w:rsidP="00FF5645">
            <w:pPr>
              <w:jc w:val="center"/>
              <w:rPr>
                <w:bCs/>
                <w:color w:val="92D050"/>
                <w:sz w:val="28"/>
                <w:szCs w:val="28"/>
              </w:rPr>
            </w:pPr>
            <w:r w:rsidRPr="00CD6075">
              <w:rPr>
                <w:bCs/>
                <w:color w:val="92D050"/>
                <w:sz w:val="28"/>
                <w:szCs w:val="28"/>
              </w:rPr>
              <w:sym w:font="Wingdings 3" w:char="F0C7"/>
            </w:r>
          </w:p>
        </w:tc>
        <w:tc>
          <w:tcPr>
            <w:tcW w:w="1075" w:type="dxa"/>
            <w:tcBorders>
              <w:top w:val="single" w:sz="4" w:space="0" w:color="auto"/>
              <w:left w:val="nil"/>
              <w:bottom w:val="nil"/>
            </w:tcBorders>
            <w:tcMar>
              <w:right w:w="284" w:type="dxa"/>
            </w:tcMar>
            <w:vAlign w:val="center"/>
          </w:tcPr>
          <w:p w14:paraId="6E3A5470" w14:textId="77777777" w:rsidR="00C02F63" w:rsidRPr="008B09DA" w:rsidRDefault="00C02F63" w:rsidP="00FF5645">
            <w:pPr>
              <w:jc w:val="right"/>
              <w:rPr>
                <w:bCs/>
                <w:sz w:val="18"/>
              </w:rPr>
            </w:pPr>
            <w:r w:rsidRPr="00CD6075">
              <w:rPr>
                <w:bCs/>
                <w:sz w:val="18"/>
              </w:rPr>
              <w:t>+</w:t>
            </w:r>
            <w:r>
              <w:rPr>
                <w:bCs/>
                <w:sz w:val="18"/>
              </w:rPr>
              <w:t>31,0</w:t>
            </w:r>
          </w:p>
        </w:tc>
      </w:tr>
      <w:tr w:rsidR="00C02F63" w14:paraId="6C32C604" w14:textId="77777777" w:rsidTr="00FF5645">
        <w:trPr>
          <w:cantSplit/>
          <w:trHeight w:val="284"/>
        </w:trPr>
        <w:tc>
          <w:tcPr>
            <w:tcW w:w="918" w:type="dxa"/>
            <w:vMerge/>
            <w:vAlign w:val="center"/>
          </w:tcPr>
          <w:p w14:paraId="28D114F5" w14:textId="77777777" w:rsidR="00C02F63" w:rsidRDefault="00C02F63" w:rsidP="00FF5645">
            <w:pPr>
              <w:jc w:val="center"/>
              <w:rPr>
                <w:rFonts w:cs="Arial"/>
                <w:sz w:val="18"/>
                <w:szCs w:val="16"/>
              </w:rPr>
            </w:pPr>
          </w:p>
        </w:tc>
        <w:tc>
          <w:tcPr>
            <w:tcW w:w="1776" w:type="dxa"/>
            <w:tcBorders>
              <w:top w:val="nil"/>
              <w:bottom w:val="nil"/>
            </w:tcBorders>
            <w:vAlign w:val="center"/>
          </w:tcPr>
          <w:p w14:paraId="781DB4B2" w14:textId="77777777" w:rsidR="00C02F63" w:rsidRPr="008B09DA" w:rsidRDefault="00C02F63" w:rsidP="00FF5645">
            <w:pPr>
              <w:rPr>
                <w:bCs/>
                <w:sz w:val="18"/>
                <w:szCs w:val="18"/>
              </w:rPr>
            </w:pPr>
            <w:r>
              <w:rPr>
                <w:bCs/>
                <w:sz w:val="18"/>
                <w:szCs w:val="18"/>
              </w:rPr>
              <w:t>2. čtvrtletí</w:t>
            </w:r>
          </w:p>
        </w:tc>
        <w:tc>
          <w:tcPr>
            <w:tcW w:w="1074" w:type="dxa"/>
            <w:tcBorders>
              <w:top w:val="nil"/>
              <w:bottom w:val="nil"/>
              <w:right w:val="single" w:sz="4" w:space="0" w:color="auto"/>
            </w:tcBorders>
            <w:tcMar>
              <w:right w:w="284" w:type="dxa"/>
            </w:tcMar>
            <w:vAlign w:val="center"/>
          </w:tcPr>
          <w:p w14:paraId="26AA0BA0" w14:textId="77777777" w:rsidR="00C02F63" w:rsidRPr="008B09DA" w:rsidRDefault="00C02F63" w:rsidP="00FF5645">
            <w:pPr>
              <w:jc w:val="right"/>
              <w:rPr>
                <w:rFonts w:cs="Arial"/>
                <w:sz w:val="18"/>
                <w:szCs w:val="18"/>
              </w:rPr>
            </w:pPr>
            <w:r>
              <w:rPr>
                <w:rFonts w:cs="Arial"/>
                <w:sz w:val="18"/>
                <w:szCs w:val="18"/>
              </w:rPr>
              <w:t>383</w:t>
            </w:r>
          </w:p>
        </w:tc>
        <w:tc>
          <w:tcPr>
            <w:tcW w:w="1074" w:type="dxa"/>
            <w:tcBorders>
              <w:top w:val="nil"/>
              <w:left w:val="single" w:sz="4" w:space="0" w:color="auto"/>
              <w:bottom w:val="nil"/>
              <w:right w:val="nil"/>
            </w:tcBorders>
            <w:vAlign w:val="center"/>
          </w:tcPr>
          <w:p w14:paraId="648CAF72" w14:textId="77777777" w:rsidR="00C02F63" w:rsidRPr="008B09DA" w:rsidRDefault="00C02F63" w:rsidP="00FF5645">
            <w:pPr>
              <w:jc w:val="center"/>
              <w:rPr>
                <w:bCs/>
                <w:color w:val="FF0000"/>
                <w:sz w:val="28"/>
                <w:szCs w:val="28"/>
              </w:rPr>
            </w:pPr>
            <w:r w:rsidRPr="009D2522">
              <w:rPr>
                <w:bCs/>
                <w:color w:val="FF0000"/>
                <w:sz w:val="28"/>
                <w:szCs w:val="28"/>
              </w:rPr>
              <w:sym w:font="Wingdings 3" w:char="F0C8"/>
            </w:r>
          </w:p>
        </w:tc>
        <w:tc>
          <w:tcPr>
            <w:tcW w:w="1075" w:type="dxa"/>
            <w:tcBorders>
              <w:top w:val="nil"/>
              <w:left w:val="nil"/>
              <w:bottom w:val="nil"/>
              <w:right w:val="single" w:sz="4" w:space="0" w:color="auto"/>
            </w:tcBorders>
            <w:tcMar>
              <w:left w:w="0" w:type="dxa"/>
              <w:right w:w="284" w:type="dxa"/>
            </w:tcMar>
            <w:vAlign w:val="center"/>
          </w:tcPr>
          <w:p w14:paraId="04339CB5" w14:textId="77777777" w:rsidR="00C02F63" w:rsidRPr="008B09DA" w:rsidRDefault="00C02F63" w:rsidP="00FF5645">
            <w:pPr>
              <w:jc w:val="right"/>
              <w:rPr>
                <w:bCs/>
                <w:sz w:val="18"/>
              </w:rPr>
            </w:pPr>
            <w:r>
              <w:rPr>
                <w:bCs/>
                <w:sz w:val="18"/>
              </w:rPr>
              <w:t>-5,7</w:t>
            </w:r>
          </w:p>
        </w:tc>
        <w:tc>
          <w:tcPr>
            <w:tcW w:w="1074" w:type="dxa"/>
            <w:tcBorders>
              <w:top w:val="nil"/>
              <w:left w:val="single" w:sz="4" w:space="0" w:color="auto"/>
              <w:bottom w:val="nil"/>
              <w:right w:val="single" w:sz="4" w:space="0" w:color="auto"/>
            </w:tcBorders>
            <w:tcMar>
              <w:right w:w="227" w:type="dxa"/>
            </w:tcMar>
            <w:vAlign w:val="center"/>
          </w:tcPr>
          <w:p w14:paraId="4B0F7BA2" w14:textId="77777777" w:rsidR="00C02F63" w:rsidRPr="008B09DA" w:rsidRDefault="00C02F63" w:rsidP="00FF5645">
            <w:pPr>
              <w:jc w:val="right"/>
              <w:rPr>
                <w:rFonts w:cs="Arial"/>
                <w:sz w:val="18"/>
                <w:szCs w:val="18"/>
              </w:rPr>
            </w:pPr>
            <w:r>
              <w:rPr>
                <w:rFonts w:cs="Arial"/>
                <w:sz w:val="18"/>
                <w:szCs w:val="18"/>
              </w:rPr>
              <w:t>35 030</w:t>
            </w:r>
          </w:p>
        </w:tc>
        <w:tc>
          <w:tcPr>
            <w:tcW w:w="1074" w:type="dxa"/>
            <w:tcBorders>
              <w:top w:val="nil"/>
              <w:left w:val="single" w:sz="4" w:space="0" w:color="auto"/>
              <w:bottom w:val="nil"/>
              <w:right w:val="nil"/>
            </w:tcBorders>
            <w:tcMar>
              <w:left w:w="0" w:type="dxa"/>
              <w:right w:w="0" w:type="dxa"/>
            </w:tcMar>
            <w:vAlign w:val="center"/>
          </w:tcPr>
          <w:p w14:paraId="2C06D251" w14:textId="77777777" w:rsidR="00C02F63" w:rsidRPr="008B09DA" w:rsidRDefault="00C02F63" w:rsidP="00FF5645">
            <w:pPr>
              <w:jc w:val="center"/>
              <w:rPr>
                <w:bCs/>
                <w:color w:val="FF0000"/>
                <w:sz w:val="28"/>
                <w:szCs w:val="28"/>
              </w:rPr>
            </w:pPr>
            <w:r w:rsidRPr="00CD6075">
              <w:rPr>
                <w:bCs/>
                <w:color w:val="92D050"/>
                <w:sz w:val="28"/>
                <w:szCs w:val="28"/>
              </w:rPr>
              <w:sym w:font="Wingdings 3" w:char="F0C7"/>
            </w:r>
          </w:p>
        </w:tc>
        <w:tc>
          <w:tcPr>
            <w:tcW w:w="1075" w:type="dxa"/>
            <w:tcBorders>
              <w:top w:val="nil"/>
              <w:left w:val="nil"/>
              <w:bottom w:val="nil"/>
            </w:tcBorders>
            <w:tcMar>
              <w:right w:w="284" w:type="dxa"/>
            </w:tcMar>
            <w:vAlign w:val="center"/>
          </w:tcPr>
          <w:p w14:paraId="1CBF2673" w14:textId="77777777" w:rsidR="00C02F63" w:rsidRPr="008B09DA" w:rsidRDefault="00C02F63" w:rsidP="00FF5645">
            <w:pPr>
              <w:jc w:val="right"/>
              <w:rPr>
                <w:bCs/>
                <w:sz w:val="18"/>
              </w:rPr>
            </w:pPr>
            <w:r>
              <w:rPr>
                <w:bCs/>
                <w:sz w:val="18"/>
              </w:rPr>
              <w:t>+16,2</w:t>
            </w:r>
          </w:p>
        </w:tc>
      </w:tr>
      <w:tr w:rsidR="00C02F63" w14:paraId="5867361D" w14:textId="77777777" w:rsidTr="00FF5645">
        <w:trPr>
          <w:cantSplit/>
          <w:trHeight w:val="284"/>
        </w:trPr>
        <w:tc>
          <w:tcPr>
            <w:tcW w:w="918" w:type="dxa"/>
            <w:vMerge/>
            <w:tcBorders>
              <w:bottom w:val="nil"/>
            </w:tcBorders>
            <w:vAlign w:val="center"/>
          </w:tcPr>
          <w:p w14:paraId="72E38927" w14:textId="77777777" w:rsidR="00C02F63" w:rsidRDefault="00C02F63" w:rsidP="00FF5645">
            <w:pPr>
              <w:jc w:val="center"/>
              <w:rPr>
                <w:rFonts w:cs="Arial"/>
                <w:sz w:val="18"/>
                <w:szCs w:val="16"/>
              </w:rPr>
            </w:pPr>
          </w:p>
        </w:tc>
        <w:tc>
          <w:tcPr>
            <w:tcW w:w="1776" w:type="dxa"/>
            <w:tcBorders>
              <w:top w:val="nil"/>
              <w:bottom w:val="nil"/>
            </w:tcBorders>
            <w:vAlign w:val="center"/>
          </w:tcPr>
          <w:p w14:paraId="1E118732" w14:textId="77777777" w:rsidR="00C02F63" w:rsidRDefault="00C02F63" w:rsidP="00FF5645">
            <w:pPr>
              <w:rPr>
                <w:bCs/>
                <w:sz w:val="18"/>
                <w:szCs w:val="18"/>
              </w:rPr>
            </w:pPr>
            <w:r>
              <w:rPr>
                <w:bCs/>
                <w:sz w:val="18"/>
                <w:szCs w:val="18"/>
              </w:rPr>
              <w:t>3. čtvrtletí</w:t>
            </w:r>
          </w:p>
        </w:tc>
        <w:tc>
          <w:tcPr>
            <w:tcW w:w="1074" w:type="dxa"/>
            <w:tcBorders>
              <w:top w:val="nil"/>
              <w:bottom w:val="nil"/>
              <w:right w:val="single" w:sz="4" w:space="0" w:color="auto"/>
            </w:tcBorders>
            <w:tcMar>
              <w:right w:w="284" w:type="dxa"/>
            </w:tcMar>
            <w:vAlign w:val="center"/>
          </w:tcPr>
          <w:p w14:paraId="217C3D8B" w14:textId="77777777" w:rsidR="00C02F63" w:rsidRDefault="00C02F63" w:rsidP="00FF5645">
            <w:pPr>
              <w:jc w:val="right"/>
              <w:rPr>
                <w:rFonts w:cs="Arial"/>
                <w:sz w:val="18"/>
                <w:szCs w:val="18"/>
              </w:rPr>
            </w:pPr>
            <w:r>
              <w:rPr>
                <w:rFonts w:cs="Arial"/>
                <w:sz w:val="18"/>
                <w:szCs w:val="18"/>
              </w:rPr>
              <w:t>349</w:t>
            </w:r>
          </w:p>
        </w:tc>
        <w:tc>
          <w:tcPr>
            <w:tcW w:w="1074" w:type="dxa"/>
            <w:tcBorders>
              <w:top w:val="nil"/>
              <w:left w:val="single" w:sz="4" w:space="0" w:color="auto"/>
              <w:bottom w:val="nil"/>
              <w:right w:val="nil"/>
            </w:tcBorders>
            <w:vAlign w:val="center"/>
          </w:tcPr>
          <w:p w14:paraId="3651AFB3" w14:textId="77777777" w:rsidR="00C02F63" w:rsidRPr="008B09DA" w:rsidRDefault="00C02F63" w:rsidP="00FF5645">
            <w:pPr>
              <w:jc w:val="center"/>
              <w:rPr>
                <w:bCs/>
                <w:color w:val="FF0000"/>
                <w:sz w:val="28"/>
                <w:szCs w:val="28"/>
              </w:rPr>
            </w:pPr>
            <w:r w:rsidRPr="009D2522">
              <w:rPr>
                <w:bCs/>
                <w:color w:val="FF0000"/>
                <w:sz w:val="28"/>
                <w:szCs w:val="28"/>
              </w:rPr>
              <w:sym w:font="Wingdings 3" w:char="F0C8"/>
            </w:r>
          </w:p>
        </w:tc>
        <w:tc>
          <w:tcPr>
            <w:tcW w:w="1075" w:type="dxa"/>
            <w:tcBorders>
              <w:top w:val="nil"/>
              <w:left w:val="nil"/>
              <w:bottom w:val="nil"/>
              <w:right w:val="single" w:sz="4" w:space="0" w:color="auto"/>
            </w:tcBorders>
            <w:tcMar>
              <w:left w:w="0" w:type="dxa"/>
              <w:right w:w="284" w:type="dxa"/>
            </w:tcMar>
            <w:vAlign w:val="center"/>
          </w:tcPr>
          <w:p w14:paraId="76CE3453" w14:textId="77777777" w:rsidR="00C02F63" w:rsidRDefault="00C02F63" w:rsidP="00FF5645">
            <w:pPr>
              <w:jc w:val="right"/>
              <w:rPr>
                <w:bCs/>
                <w:sz w:val="18"/>
              </w:rPr>
            </w:pPr>
            <w:r>
              <w:rPr>
                <w:bCs/>
                <w:sz w:val="18"/>
              </w:rPr>
              <w:t>-5,4</w:t>
            </w:r>
          </w:p>
        </w:tc>
        <w:tc>
          <w:tcPr>
            <w:tcW w:w="1074" w:type="dxa"/>
            <w:tcBorders>
              <w:top w:val="nil"/>
              <w:left w:val="single" w:sz="4" w:space="0" w:color="auto"/>
              <w:bottom w:val="nil"/>
              <w:right w:val="single" w:sz="4" w:space="0" w:color="auto"/>
            </w:tcBorders>
            <w:tcMar>
              <w:right w:w="227" w:type="dxa"/>
            </w:tcMar>
            <w:vAlign w:val="center"/>
          </w:tcPr>
          <w:p w14:paraId="5FBA4D3C" w14:textId="77777777" w:rsidR="00C02F63" w:rsidRDefault="00C02F63" w:rsidP="00FF5645">
            <w:pPr>
              <w:jc w:val="right"/>
              <w:rPr>
                <w:rFonts w:cs="Arial"/>
                <w:sz w:val="18"/>
                <w:szCs w:val="18"/>
              </w:rPr>
            </w:pPr>
            <w:r>
              <w:rPr>
                <w:rFonts w:cs="Arial"/>
                <w:sz w:val="18"/>
                <w:szCs w:val="18"/>
              </w:rPr>
              <w:t>39 793</w:t>
            </w:r>
          </w:p>
        </w:tc>
        <w:tc>
          <w:tcPr>
            <w:tcW w:w="1074" w:type="dxa"/>
            <w:tcBorders>
              <w:top w:val="nil"/>
              <w:left w:val="single" w:sz="4" w:space="0" w:color="auto"/>
              <w:bottom w:val="nil"/>
              <w:right w:val="nil"/>
            </w:tcBorders>
            <w:tcMar>
              <w:left w:w="0" w:type="dxa"/>
              <w:right w:w="0" w:type="dxa"/>
            </w:tcMar>
            <w:vAlign w:val="center"/>
          </w:tcPr>
          <w:p w14:paraId="0931E505" w14:textId="77777777" w:rsidR="00C02F63" w:rsidRPr="008B09DA" w:rsidRDefault="00C02F63" w:rsidP="00FF5645">
            <w:pPr>
              <w:jc w:val="center"/>
              <w:rPr>
                <w:bCs/>
                <w:color w:val="FF0000"/>
                <w:sz w:val="28"/>
                <w:szCs w:val="28"/>
              </w:rPr>
            </w:pPr>
            <w:r w:rsidRPr="00CD6075">
              <w:rPr>
                <w:bCs/>
                <w:color w:val="92D050"/>
                <w:sz w:val="28"/>
                <w:szCs w:val="28"/>
              </w:rPr>
              <w:sym w:font="Wingdings 3" w:char="F0C7"/>
            </w:r>
          </w:p>
        </w:tc>
        <w:tc>
          <w:tcPr>
            <w:tcW w:w="1075" w:type="dxa"/>
            <w:tcBorders>
              <w:top w:val="nil"/>
              <w:left w:val="nil"/>
              <w:bottom w:val="nil"/>
            </w:tcBorders>
            <w:tcMar>
              <w:right w:w="284" w:type="dxa"/>
            </w:tcMar>
            <w:vAlign w:val="center"/>
          </w:tcPr>
          <w:p w14:paraId="5A2BABB5" w14:textId="77777777" w:rsidR="00C02F63" w:rsidRDefault="00C02F63" w:rsidP="00FF5645">
            <w:pPr>
              <w:jc w:val="right"/>
              <w:rPr>
                <w:bCs/>
                <w:sz w:val="18"/>
              </w:rPr>
            </w:pPr>
            <w:r>
              <w:rPr>
                <w:bCs/>
                <w:sz w:val="18"/>
              </w:rPr>
              <w:t>+7,4</w:t>
            </w:r>
          </w:p>
        </w:tc>
      </w:tr>
      <w:tr w:rsidR="00C02F63" w14:paraId="17E04A36" w14:textId="77777777" w:rsidTr="00FF5645">
        <w:trPr>
          <w:cantSplit/>
          <w:trHeight w:val="284"/>
        </w:trPr>
        <w:tc>
          <w:tcPr>
            <w:tcW w:w="918" w:type="dxa"/>
            <w:vMerge/>
            <w:tcBorders>
              <w:top w:val="nil"/>
            </w:tcBorders>
            <w:vAlign w:val="center"/>
          </w:tcPr>
          <w:p w14:paraId="0A93DDF1" w14:textId="77777777" w:rsidR="00C02F63" w:rsidRDefault="00C02F63" w:rsidP="00FF5645">
            <w:pPr>
              <w:jc w:val="center"/>
              <w:rPr>
                <w:rFonts w:cs="Arial"/>
                <w:sz w:val="18"/>
                <w:szCs w:val="16"/>
              </w:rPr>
            </w:pPr>
          </w:p>
        </w:tc>
        <w:tc>
          <w:tcPr>
            <w:tcW w:w="1776" w:type="dxa"/>
            <w:tcBorders>
              <w:top w:val="nil"/>
              <w:bottom w:val="single" w:sz="4" w:space="0" w:color="auto"/>
            </w:tcBorders>
            <w:vAlign w:val="center"/>
          </w:tcPr>
          <w:p w14:paraId="65B60D23" w14:textId="77777777" w:rsidR="00C02F63" w:rsidRDefault="00C02F63" w:rsidP="00FF5645">
            <w:pPr>
              <w:rPr>
                <w:bCs/>
                <w:sz w:val="18"/>
                <w:szCs w:val="18"/>
              </w:rPr>
            </w:pPr>
            <w:r>
              <w:rPr>
                <w:bCs/>
                <w:sz w:val="18"/>
                <w:szCs w:val="18"/>
              </w:rPr>
              <w:t>4. čtvrtletí</w:t>
            </w:r>
          </w:p>
        </w:tc>
        <w:tc>
          <w:tcPr>
            <w:tcW w:w="1074" w:type="dxa"/>
            <w:tcBorders>
              <w:top w:val="nil"/>
              <w:bottom w:val="single" w:sz="4" w:space="0" w:color="auto"/>
              <w:right w:val="single" w:sz="4" w:space="0" w:color="auto"/>
            </w:tcBorders>
            <w:tcMar>
              <w:right w:w="284" w:type="dxa"/>
            </w:tcMar>
            <w:vAlign w:val="center"/>
          </w:tcPr>
          <w:p w14:paraId="1422E676" w14:textId="77777777" w:rsidR="00C02F63" w:rsidRDefault="00C02F63" w:rsidP="00FF5645">
            <w:pPr>
              <w:jc w:val="right"/>
              <w:rPr>
                <w:rFonts w:cs="Arial"/>
                <w:sz w:val="18"/>
                <w:szCs w:val="18"/>
              </w:rPr>
            </w:pPr>
            <w:r>
              <w:rPr>
                <w:rFonts w:cs="Arial"/>
                <w:sz w:val="18"/>
                <w:szCs w:val="18"/>
              </w:rPr>
              <w:t>353</w:t>
            </w:r>
          </w:p>
        </w:tc>
        <w:tc>
          <w:tcPr>
            <w:tcW w:w="1074" w:type="dxa"/>
            <w:tcBorders>
              <w:top w:val="nil"/>
              <w:left w:val="single" w:sz="4" w:space="0" w:color="auto"/>
              <w:bottom w:val="single" w:sz="4" w:space="0" w:color="auto"/>
              <w:right w:val="nil"/>
            </w:tcBorders>
            <w:vAlign w:val="center"/>
          </w:tcPr>
          <w:p w14:paraId="19F0022E" w14:textId="77777777" w:rsidR="00C02F63" w:rsidRPr="008B09DA" w:rsidRDefault="00C02F63" w:rsidP="00FF5645">
            <w:pPr>
              <w:jc w:val="center"/>
              <w:rPr>
                <w:bCs/>
                <w:color w:val="92D050"/>
                <w:sz w:val="28"/>
                <w:szCs w:val="28"/>
              </w:rPr>
            </w:pPr>
            <w:r w:rsidRPr="00CD6075">
              <w:rPr>
                <w:bCs/>
                <w:color w:val="92D050"/>
                <w:sz w:val="28"/>
                <w:szCs w:val="28"/>
              </w:rPr>
              <w:sym w:font="Wingdings 3" w:char="F0C7"/>
            </w:r>
          </w:p>
        </w:tc>
        <w:tc>
          <w:tcPr>
            <w:tcW w:w="1075" w:type="dxa"/>
            <w:tcBorders>
              <w:top w:val="nil"/>
              <w:left w:val="nil"/>
              <w:bottom w:val="single" w:sz="4" w:space="0" w:color="auto"/>
              <w:right w:val="single" w:sz="4" w:space="0" w:color="auto"/>
            </w:tcBorders>
            <w:tcMar>
              <w:left w:w="0" w:type="dxa"/>
              <w:right w:w="284" w:type="dxa"/>
            </w:tcMar>
            <w:vAlign w:val="center"/>
          </w:tcPr>
          <w:p w14:paraId="279052DD" w14:textId="77777777" w:rsidR="00C02F63" w:rsidRDefault="00C02F63" w:rsidP="00FF5645">
            <w:pPr>
              <w:jc w:val="right"/>
              <w:rPr>
                <w:bCs/>
                <w:sz w:val="18"/>
              </w:rPr>
            </w:pPr>
            <w:r>
              <w:rPr>
                <w:bCs/>
                <w:sz w:val="18"/>
              </w:rPr>
              <w:t>+9,0</w:t>
            </w:r>
          </w:p>
        </w:tc>
        <w:tc>
          <w:tcPr>
            <w:tcW w:w="1074" w:type="dxa"/>
            <w:tcBorders>
              <w:top w:val="nil"/>
              <w:left w:val="single" w:sz="4" w:space="0" w:color="auto"/>
              <w:bottom w:val="single" w:sz="4" w:space="0" w:color="auto"/>
              <w:right w:val="single" w:sz="4" w:space="0" w:color="auto"/>
            </w:tcBorders>
            <w:tcMar>
              <w:right w:w="227" w:type="dxa"/>
            </w:tcMar>
            <w:vAlign w:val="center"/>
          </w:tcPr>
          <w:p w14:paraId="66C7ABF2" w14:textId="77777777" w:rsidR="00C02F63" w:rsidRDefault="00C02F63" w:rsidP="00FF5645">
            <w:pPr>
              <w:jc w:val="right"/>
              <w:rPr>
                <w:rFonts w:cs="Arial"/>
                <w:sz w:val="18"/>
                <w:szCs w:val="18"/>
              </w:rPr>
            </w:pPr>
            <w:r>
              <w:rPr>
                <w:rFonts w:cs="Arial"/>
                <w:sz w:val="18"/>
                <w:szCs w:val="18"/>
              </w:rPr>
              <w:t>55 783</w:t>
            </w:r>
          </w:p>
        </w:tc>
        <w:tc>
          <w:tcPr>
            <w:tcW w:w="1074" w:type="dxa"/>
            <w:tcBorders>
              <w:top w:val="nil"/>
              <w:left w:val="single" w:sz="4" w:space="0" w:color="auto"/>
              <w:bottom w:val="single" w:sz="4" w:space="0" w:color="auto"/>
              <w:right w:val="nil"/>
            </w:tcBorders>
            <w:tcMar>
              <w:left w:w="0" w:type="dxa"/>
              <w:right w:w="0" w:type="dxa"/>
            </w:tcMar>
            <w:vAlign w:val="center"/>
          </w:tcPr>
          <w:p w14:paraId="151C3D95" w14:textId="77777777" w:rsidR="00C02F63" w:rsidRPr="008B09DA" w:rsidRDefault="00C02F63" w:rsidP="00FF5645">
            <w:pPr>
              <w:jc w:val="center"/>
              <w:rPr>
                <w:bCs/>
                <w:color w:val="92D050"/>
                <w:sz w:val="28"/>
                <w:szCs w:val="28"/>
              </w:rPr>
            </w:pPr>
            <w:r w:rsidRPr="00CD6075">
              <w:rPr>
                <w:bCs/>
                <w:color w:val="92D050"/>
                <w:sz w:val="28"/>
                <w:szCs w:val="28"/>
              </w:rPr>
              <w:sym w:font="Wingdings 3" w:char="F0C7"/>
            </w:r>
          </w:p>
        </w:tc>
        <w:tc>
          <w:tcPr>
            <w:tcW w:w="1075" w:type="dxa"/>
            <w:tcBorders>
              <w:top w:val="nil"/>
              <w:left w:val="nil"/>
              <w:bottom w:val="single" w:sz="4" w:space="0" w:color="auto"/>
            </w:tcBorders>
            <w:tcMar>
              <w:right w:w="284" w:type="dxa"/>
            </w:tcMar>
            <w:vAlign w:val="center"/>
          </w:tcPr>
          <w:p w14:paraId="7773285C" w14:textId="77777777" w:rsidR="00C02F63" w:rsidRDefault="00C02F63" w:rsidP="00FF5645">
            <w:pPr>
              <w:jc w:val="right"/>
              <w:rPr>
                <w:bCs/>
                <w:sz w:val="18"/>
              </w:rPr>
            </w:pPr>
            <w:r>
              <w:rPr>
                <w:bCs/>
                <w:sz w:val="18"/>
              </w:rPr>
              <w:t>+50,7</w:t>
            </w:r>
          </w:p>
        </w:tc>
      </w:tr>
      <w:tr w:rsidR="00C02F63" w14:paraId="02FD1CBD" w14:textId="77777777" w:rsidTr="00FF5645">
        <w:trPr>
          <w:cantSplit/>
          <w:trHeight w:val="284"/>
        </w:trPr>
        <w:tc>
          <w:tcPr>
            <w:tcW w:w="918" w:type="dxa"/>
            <w:vMerge/>
            <w:tcBorders>
              <w:bottom w:val="single" w:sz="4" w:space="0" w:color="auto"/>
            </w:tcBorders>
            <w:vAlign w:val="center"/>
          </w:tcPr>
          <w:p w14:paraId="128BA59A" w14:textId="77777777" w:rsidR="00C02F63" w:rsidRDefault="00C02F63" w:rsidP="00FF5645">
            <w:pPr>
              <w:jc w:val="center"/>
              <w:rPr>
                <w:rFonts w:cs="Arial"/>
                <w:sz w:val="18"/>
                <w:szCs w:val="16"/>
              </w:rPr>
            </w:pPr>
          </w:p>
        </w:tc>
        <w:tc>
          <w:tcPr>
            <w:tcW w:w="1776" w:type="dxa"/>
            <w:tcBorders>
              <w:top w:val="single" w:sz="4" w:space="0" w:color="auto"/>
              <w:bottom w:val="single" w:sz="4" w:space="0" w:color="auto"/>
            </w:tcBorders>
            <w:vAlign w:val="center"/>
          </w:tcPr>
          <w:p w14:paraId="125CD054" w14:textId="77777777" w:rsidR="00C02F63" w:rsidRDefault="00C02F63" w:rsidP="00FF5645">
            <w:pPr>
              <w:rPr>
                <w:b/>
                <w:bCs/>
                <w:sz w:val="18"/>
              </w:rPr>
            </w:pPr>
            <w:r>
              <w:rPr>
                <w:b/>
                <w:sz w:val="18"/>
                <w:szCs w:val="18"/>
              </w:rPr>
              <w:t>Rok</w:t>
            </w:r>
          </w:p>
        </w:tc>
        <w:tc>
          <w:tcPr>
            <w:tcW w:w="1074" w:type="dxa"/>
            <w:tcBorders>
              <w:top w:val="single" w:sz="4" w:space="0" w:color="auto"/>
              <w:bottom w:val="single" w:sz="4" w:space="0" w:color="auto"/>
              <w:right w:val="single" w:sz="4" w:space="0" w:color="auto"/>
            </w:tcBorders>
            <w:tcMar>
              <w:right w:w="284" w:type="dxa"/>
            </w:tcMar>
            <w:vAlign w:val="center"/>
          </w:tcPr>
          <w:p w14:paraId="0DB0CFA8" w14:textId="77777777" w:rsidR="00C02F63" w:rsidRDefault="00C02F63" w:rsidP="00FF5645">
            <w:pPr>
              <w:jc w:val="right"/>
              <w:rPr>
                <w:rFonts w:cs="Arial"/>
                <w:b/>
                <w:sz w:val="18"/>
                <w:szCs w:val="18"/>
              </w:rPr>
            </w:pPr>
            <w:r>
              <w:rPr>
                <w:rFonts w:cs="Arial"/>
                <w:b/>
                <w:sz w:val="18"/>
                <w:szCs w:val="18"/>
              </w:rPr>
              <w:t>1 505</w:t>
            </w:r>
          </w:p>
        </w:tc>
        <w:tc>
          <w:tcPr>
            <w:tcW w:w="1074" w:type="dxa"/>
            <w:tcBorders>
              <w:top w:val="single" w:sz="4" w:space="0" w:color="auto"/>
              <w:left w:val="single" w:sz="4" w:space="0" w:color="auto"/>
              <w:bottom w:val="single" w:sz="4" w:space="0" w:color="auto"/>
              <w:right w:val="nil"/>
            </w:tcBorders>
            <w:vAlign w:val="center"/>
          </w:tcPr>
          <w:p w14:paraId="531B08CB" w14:textId="77777777" w:rsidR="00C02F63" w:rsidRPr="009D2522" w:rsidRDefault="00C02F63" w:rsidP="00FF5645">
            <w:pPr>
              <w:jc w:val="center"/>
              <w:rPr>
                <w:bCs/>
                <w:color w:val="FF0000"/>
                <w:sz w:val="28"/>
                <w:szCs w:val="28"/>
              </w:rPr>
            </w:pPr>
            <w:r w:rsidRPr="00CD6075">
              <w:rPr>
                <w:bCs/>
                <w:color w:val="92D050"/>
                <w:sz w:val="28"/>
                <w:szCs w:val="28"/>
              </w:rPr>
              <w:sym w:font="Wingdings 3" w:char="F0C7"/>
            </w:r>
          </w:p>
        </w:tc>
        <w:tc>
          <w:tcPr>
            <w:tcW w:w="1075" w:type="dxa"/>
            <w:tcBorders>
              <w:top w:val="single" w:sz="4" w:space="0" w:color="auto"/>
              <w:left w:val="nil"/>
              <w:bottom w:val="single" w:sz="4" w:space="0" w:color="auto"/>
              <w:right w:val="single" w:sz="4" w:space="0" w:color="auto"/>
            </w:tcBorders>
            <w:tcMar>
              <w:left w:w="0" w:type="dxa"/>
              <w:right w:w="284" w:type="dxa"/>
            </w:tcMar>
            <w:vAlign w:val="center"/>
          </w:tcPr>
          <w:p w14:paraId="4F2D2664" w14:textId="77777777" w:rsidR="00C02F63" w:rsidRDefault="00C02F63" w:rsidP="00FF5645">
            <w:pPr>
              <w:jc w:val="right"/>
              <w:rPr>
                <w:b/>
                <w:bCs/>
                <w:sz w:val="18"/>
              </w:rPr>
            </w:pPr>
            <w:r>
              <w:rPr>
                <w:b/>
                <w:bCs/>
                <w:sz w:val="18"/>
              </w:rPr>
              <w:t>+1,0</w:t>
            </w:r>
          </w:p>
        </w:tc>
        <w:tc>
          <w:tcPr>
            <w:tcW w:w="1074" w:type="dxa"/>
            <w:tcBorders>
              <w:top w:val="single" w:sz="4" w:space="0" w:color="auto"/>
              <w:left w:val="single" w:sz="4" w:space="0" w:color="auto"/>
              <w:bottom w:val="single" w:sz="4" w:space="0" w:color="auto"/>
              <w:right w:val="single" w:sz="4" w:space="0" w:color="auto"/>
            </w:tcBorders>
            <w:tcMar>
              <w:right w:w="227" w:type="dxa"/>
            </w:tcMar>
            <w:vAlign w:val="center"/>
          </w:tcPr>
          <w:p w14:paraId="1226B195" w14:textId="77777777" w:rsidR="00C02F63" w:rsidRDefault="00C02F63" w:rsidP="00FF5645">
            <w:pPr>
              <w:jc w:val="right"/>
              <w:rPr>
                <w:rFonts w:cs="Arial"/>
                <w:b/>
                <w:sz w:val="18"/>
                <w:szCs w:val="18"/>
              </w:rPr>
            </w:pPr>
            <w:r>
              <w:rPr>
                <w:rFonts w:cs="Arial"/>
                <w:b/>
                <w:sz w:val="18"/>
                <w:szCs w:val="18"/>
              </w:rPr>
              <w:t>180 216</w:t>
            </w:r>
          </w:p>
        </w:tc>
        <w:tc>
          <w:tcPr>
            <w:tcW w:w="1074" w:type="dxa"/>
            <w:tcBorders>
              <w:top w:val="single" w:sz="4" w:space="0" w:color="auto"/>
              <w:left w:val="single" w:sz="4" w:space="0" w:color="auto"/>
              <w:bottom w:val="single" w:sz="4" w:space="0" w:color="auto"/>
              <w:right w:val="nil"/>
            </w:tcBorders>
            <w:tcMar>
              <w:left w:w="0" w:type="dxa"/>
              <w:right w:w="0" w:type="dxa"/>
            </w:tcMar>
            <w:vAlign w:val="center"/>
          </w:tcPr>
          <w:p w14:paraId="71776024" w14:textId="77777777" w:rsidR="00C02F63" w:rsidRPr="009D2522" w:rsidRDefault="00C02F63" w:rsidP="00FF5645">
            <w:pPr>
              <w:jc w:val="center"/>
              <w:rPr>
                <w:bCs/>
                <w:color w:val="FF0000"/>
                <w:sz w:val="28"/>
                <w:szCs w:val="28"/>
              </w:rPr>
            </w:pPr>
            <w:r w:rsidRPr="00CD6075">
              <w:rPr>
                <w:bCs/>
                <w:color w:val="92D050"/>
                <w:sz w:val="28"/>
                <w:szCs w:val="28"/>
              </w:rPr>
              <w:sym w:font="Wingdings 3" w:char="F0C7"/>
            </w:r>
          </w:p>
        </w:tc>
        <w:tc>
          <w:tcPr>
            <w:tcW w:w="1075" w:type="dxa"/>
            <w:tcBorders>
              <w:top w:val="single" w:sz="4" w:space="0" w:color="auto"/>
              <w:left w:val="nil"/>
              <w:bottom w:val="single" w:sz="4" w:space="0" w:color="auto"/>
            </w:tcBorders>
            <w:tcMar>
              <w:right w:w="284" w:type="dxa"/>
            </w:tcMar>
            <w:vAlign w:val="center"/>
          </w:tcPr>
          <w:p w14:paraId="0BB03C11" w14:textId="77777777" w:rsidR="00C02F63" w:rsidRDefault="00C02F63" w:rsidP="00FF5645">
            <w:pPr>
              <w:jc w:val="right"/>
              <w:rPr>
                <w:b/>
                <w:bCs/>
                <w:sz w:val="18"/>
              </w:rPr>
            </w:pPr>
            <w:r>
              <w:rPr>
                <w:b/>
                <w:bCs/>
                <w:sz w:val="18"/>
              </w:rPr>
              <w:t>+26,8</w:t>
            </w:r>
          </w:p>
        </w:tc>
      </w:tr>
      <w:tr w:rsidR="00C02F63" w14:paraId="695DE023" w14:textId="77777777" w:rsidTr="00FF5645">
        <w:trPr>
          <w:cantSplit/>
          <w:trHeight w:val="284"/>
        </w:trPr>
        <w:tc>
          <w:tcPr>
            <w:tcW w:w="918" w:type="dxa"/>
            <w:vMerge w:val="restart"/>
            <w:vAlign w:val="center"/>
          </w:tcPr>
          <w:p w14:paraId="434439DB" w14:textId="77777777" w:rsidR="00C02F63" w:rsidRDefault="00C02F63" w:rsidP="00FF5645">
            <w:pPr>
              <w:jc w:val="center"/>
              <w:rPr>
                <w:rFonts w:cs="Arial"/>
                <w:sz w:val="18"/>
                <w:szCs w:val="16"/>
              </w:rPr>
            </w:pPr>
            <w:r>
              <w:rPr>
                <w:rFonts w:cs="Arial"/>
                <w:sz w:val="18"/>
                <w:szCs w:val="16"/>
              </w:rPr>
              <w:t>2021</w:t>
            </w:r>
          </w:p>
        </w:tc>
        <w:tc>
          <w:tcPr>
            <w:tcW w:w="1776" w:type="dxa"/>
            <w:tcBorders>
              <w:top w:val="single" w:sz="4" w:space="0" w:color="auto"/>
              <w:bottom w:val="nil"/>
            </w:tcBorders>
            <w:vAlign w:val="center"/>
          </w:tcPr>
          <w:p w14:paraId="2B6C4D12" w14:textId="77777777" w:rsidR="00C02F63" w:rsidRPr="00A20616" w:rsidRDefault="00C02F63" w:rsidP="00FF5645">
            <w:pPr>
              <w:rPr>
                <w:b/>
                <w:bCs/>
                <w:sz w:val="18"/>
                <w:szCs w:val="18"/>
              </w:rPr>
            </w:pPr>
            <w:r w:rsidRPr="00A20616">
              <w:rPr>
                <w:bCs/>
                <w:sz w:val="18"/>
                <w:szCs w:val="18"/>
              </w:rPr>
              <w:t>1. čtvrtletí</w:t>
            </w:r>
          </w:p>
        </w:tc>
        <w:tc>
          <w:tcPr>
            <w:tcW w:w="1074" w:type="dxa"/>
            <w:tcBorders>
              <w:top w:val="single" w:sz="4" w:space="0" w:color="auto"/>
              <w:bottom w:val="nil"/>
              <w:right w:val="single" w:sz="4" w:space="0" w:color="auto"/>
            </w:tcBorders>
            <w:tcMar>
              <w:right w:w="284" w:type="dxa"/>
            </w:tcMar>
            <w:vAlign w:val="center"/>
          </w:tcPr>
          <w:p w14:paraId="74D57318" w14:textId="77777777" w:rsidR="00C02F63" w:rsidRPr="00CD6075" w:rsidRDefault="00C02F63" w:rsidP="00FF5645">
            <w:pPr>
              <w:jc w:val="right"/>
              <w:rPr>
                <w:rFonts w:cs="Arial"/>
                <w:sz w:val="18"/>
                <w:szCs w:val="18"/>
              </w:rPr>
            </w:pPr>
            <w:r>
              <w:rPr>
                <w:rFonts w:cs="Arial"/>
                <w:sz w:val="18"/>
                <w:szCs w:val="18"/>
              </w:rPr>
              <w:t>407</w:t>
            </w:r>
          </w:p>
        </w:tc>
        <w:tc>
          <w:tcPr>
            <w:tcW w:w="1074" w:type="dxa"/>
            <w:tcBorders>
              <w:top w:val="single" w:sz="4" w:space="0" w:color="auto"/>
              <w:left w:val="single" w:sz="4" w:space="0" w:color="auto"/>
              <w:bottom w:val="nil"/>
              <w:right w:val="nil"/>
            </w:tcBorders>
            <w:vAlign w:val="center"/>
          </w:tcPr>
          <w:p w14:paraId="3BAD4B77" w14:textId="77777777" w:rsidR="00C02F63" w:rsidRPr="00CD6075" w:rsidRDefault="00C02F63" w:rsidP="00FF5645">
            <w:pPr>
              <w:jc w:val="center"/>
              <w:rPr>
                <w:bCs/>
                <w:color w:val="FF0000"/>
                <w:sz w:val="28"/>
                <w:szCs w:val="28"/>
              </w:rPr>
            </w:pPr>
            <w:r w:rsidRPr="009D2522">
              <w:rPr>
                <w:bCs/>
                <w:color w:val="FF0000"/>
                <w:sz w:val="28"/>
                <w:szCs w:val="28"/>
              </w:rPr>
              <w:sym w:font="Wingdings 3" w:char="F0C8"/>
            </w:r>
          </w:p>
        </w:tc>
        <w:tc>
          <w:tcPr>
            <w:tcW w:w="1075" w:type="dxa"/>
            <w:tcBorders>
              <w:top w:val="single" w:sz="4" w:space="0" w:color="auto"/>
              <w:left w:val="nil"/>
              <w:bottom w:val="nil"/>
              <w:right w:val="single" w:sz="4" w:space="0" w:color="auto"/>
            </w:tcBorders>
            <w:tcMar>
              <w:left w:w="0" w:type="dxa"/>
              <w:right w:w="284" w:type="dxa"/>
            </w:tcMar>
            <w:vAlign w:val="center"/>
          </w:tcPr>
          <w:p w14:paraId="0234F5DE" w14:textId="77777777" w:rsidR="00C02F63" w:rsidRPr="00CD6075" w:rsidRDefault="00C02F63" w:rsidP="00FF5645">
            <w:pPr>
              <w:jc w:val="right"/>
              <w:rPr>
                <w:bCs/>
                <w:sz w:val="18"/>
              </w:rPr>
            </w:pPr>
            <w:r>
              <w:rPr>
                <w:bCs/>
                <w:sz w:val="18"/>
              </w:rPr>
              <w:t>-3,1</w:t>
            </w:r>
          </w:p>
        </w:tc>
        <w:tc>
          <w:tcPr>
            <w:tcW w:w="1074" w:type="dxa"/>
            <w:tcBorders>
              <w:top w:val="single" w:sz="4" w:space="0" w:color="auto"/>
              <w:left w:val="single" w:sz="4" w:space="0" w:color="auto"/>
              <w:bottom w:val="nil"/>
              <w:right w:val="single" w:sz="4" w:space="0" w:color="auto"/>
            </w:tcBorders>
            <w:tcMar>
              <w:right w:w="227" w:type="dxa"/>
            </w:tcMar>
            <w:vAlign w:val="center"/>
          </w:tcPr>
          <w:p w14:paraId="44C8ECC3" w14:textId="77777777" w:rsidR="00C02F63" w:rsidRPr="00CD6075" w:rsidRDefault="00C02F63" w:rsidP="00FF5645">
            <w:pPr>
              <w:jc w:val="right"/>
              <w:rPr>
                <w:rFonts w:cs="Arial"/>
                <w:sz w:val="18"/>
                <w:szCs w:val="18"/>
              </w:rPr>
            </w:pPr>
            <w:r>
              <w:rPr>
                <w:rFonts w:cs="Arial"/>
                <w:sz w:val="18"/>
                <w:szCs w:val="18"/>
              </w:rPr>
              <w:t>27 557</w:t>
            </w:r>
          </w:p>
        </w:tc>
        <w:tc>
          <w:tcPr>
            <w:tcW w:w="1074" w:type="dxa"/>
            <w:tcBorders>
              <w:top w:val="single" w:sz="4" w:space="0" w:color="auto"/>
              <w:left w:val="single" w:sz="4" w:space="0" w:color="auto"/>
              <w:bottom w:val="nil"/>
              <w:right w:val="nil"/>
            </w:tcBorders>
            <w:tcMar>
              <w:left w:w="0" w:type="dxa"/>
              <w:right w:w="0" w:type="dxa"/>
            </w:tcMar>
            <w:vAlign w:val="center"/>
          </w:tcPr>
          <w:p w14:paraId="6B2FC7A3" w14:textId="77777777" w:rsidR="00C02F63" w:rsidRPr="00CD6075" w:rsidRDefault="00C02F63" w:rsidP="00FF5645">
            <w:pPr>
              <w:jc w:val="center"/>
              <w:rPr>
                <w:bCs/>
                <w:color w:val="FF0000"/>
                <w:sz w:val="28"/>
                <w:szCs w:val="28"/>
              </w:rPr>
            </w:pPr>
            <w:r w:rsidRPr="009D2522">
              <w:rPr>
                <w:bCs/>
                <w:color w:val="FF0000"/>
                <w:sz w:val="28"/>
                <w:szCs w:val="28"/>
              </w:rPr>
              <w:sym w:font="Wingdings 3" w:char="F0C8"/>
            </w:r>
          </w:p>
        </w:tc>
        <w:tc>
          <w:tcPr>
            <w:tcW w:w="1075" w:type="dxa"/>
            <w:tcBorders>
              <w:top w:val="single" w:sz="4" w:space="0" w:color="auto"/>
              <w:left w:val="nil"/>
              <w:bottom w:val="nil"/>
            </w:tcBorders>
            <w:tcMar>
              <w:right w:w="284" w:type="dxa"/>
            </w:tcMar>
            <w:vAlign w:val="center"/>
          </w:tcPr>
          <w:p w14:paraId="230A9E0B" w14:textId="77777777" w:rsidR="00C02F63" w:rsidRPr="00CD6075" w:rsidRDefault="00C02F63" w:rsidP="00FF5645">
            <w:pPr>
              <w:jc w:val="right"/>
              <w:rPr>
                <w:bCs/>
                <w:sz w:val="18"/>
              </w:rPr>
            </w:pPr>
            <w:r>
              <w:rPr>
                <w:bCs/>
                <w:sz w:val="18"/>
              </w:rPr>
              <w:t>-44,5</w:t>
            </w:r>
          </w:p>
        </w:tc>
      </w:tr>
      <w:tr w:rsidR="00C02F63" w14:paraId="112653EE" w14:textId="77777777" w:rsidTr="00FF5645">
        <w:trPr>
          <w:cantSplit/>
          <w:trHeight w:val="284"/>
        </w:trPr>
        <w:tc>
          <w:tcPr>
            <w:tcW w:w="918" w:type="dxa"/>
            <w:vMerge/>
            <w:vAlign w:val="center"/>
          </w:tcPr>
          <w:p w14:paraId="516C9E3E" w14:textId="77777777" w:rsidR="00C02F63" w:rsidRDefault="00C02F63" w:rsidP="00FF5645">
            <w:pPr>
              <w:jc w:val="center"/>
              <w:rPr>
                <w:rFonts w:cs="Arial"/>
                <w:sz w:val="18"/>
                <w:szCs w:val="16"/>
              </w:rPr>
            </w:pPr>
          </w:p>
        </w:tc>
        <w:tc>
          <w:tcPr>
            <w:tcW w:w="1776" w:type="dxa"/>
            <w:tcBorders>
              <w:top w:val="nil"/>
              <w:bottom w:val="nil"/>
            </w:tcBorders>
            <w:vAlign w:val="center"/>
          </w:tcPr>
          <w:p w14:paraId="4EFF9035" w14:textId="77777777" w:rsidR="00C02F63" w:rsidRPr="00A20616" w:rsidRDefault="00C02F63" w:rsidP="00FF5645">
            <w:pPr>
              <w:rPr>
                <w:bCs/>
                <w:sz w:val="18"/>
                <w:szCs w:val="18"/>
              </w:rPr>
            </w:pPr>
            <w:r>
              <w:rPr>
                <w:bCs/>
                <w:sz w:val="18"/>
                <w:szCs w:val="18"/>
              </w:rPr>
              <w:t>2. čtvrtletí</w:t>
            </w:r>
          </w:p>
        </w:tc>
        <w:tc>
          <w:tcPr>
            <w:tcW w:w="1074" w:type="dxa"/>
            <w:tcBorders>
              <w:top w:val="nil"/>
              <w:bottom w:val="nil"/>
              <w:right w:val="single" w:sz="4" w:space="0" w:color="auto"/>
            </w:tcBorders>
            <w:tcMar>
              <w:right w:w="284" w:type="dxa"/>
            </w:tcMar>
            <w:vAlign w:val="center"/>
          </w:tcPr>
          <w:p w14:paraId="3D4C195F" w14:textId="77777777" w:rsidR="00C02F63" w:rsidRDefault="00C02F63" w:rsidP="00FF5645">
            <w:pPr>
              <w:jc w:val="right"/>
              <w:rPr>
                <w:rFonts w:cs="Arial"/>
                <w:sz w:val="18"/>
                <w:szCs w:val="18"/>
              </w:rPr>
            </w:pPr>
            <w:r>
              <w:rPr>
                <w:rFonts w:cs="Arial"/>
                <w:sz w:val="18"/>
                <w:szCs w:val="18"/>
              </w:rPr>
              <w:t>439</w:t>
            </w:r>
          </w:p>
        </w:tc>
        <w:tc>
          <w:tcPr>
            <w:tcW w:w="1074" w:type="dxa"/>
            <w:tcBorders>
              <w:top w:val="nil"/>
              <w:left w:val="single" w:sz="4" w:space="0" w:color="auto"/>
              <w:bottom w:val="nil"/>
              <w:right w:val="nil"/>
            </w:tcBorders>
            <w:vAlign w:val="center"/>
          </w:tcPr>
          <w:p w14:paraId="2B761C5E" w14:textId="77777777" w:rsidR="00C02F63" w:rsidRPr="009D2522" w:rsidRDefault="00C02F63" w:rsidP="00FF5645">
            <w:pPr>
              <w:jc w:val="center"/>
              <w:rPr>
                <w:bCs/>
                <w:color w:val="FF0000"/>
                <w:sz w:val="28"/>
                <w:szCs w:val="28"/>
              </w:rPr>
            </w:pPr>
            <w:r w:rsidRPr="00CD6075">
              <w:rPr>
                <w:bCs/>
                <w:color w:val="92D050"/>
                <w:sz w:val="28"/>
                <w:szCs w:val="28"/>
              </w:rPr>
              <w:sym w:font="Wingdings 3" w:char="F0C7"/>
            </w:r>
          </w:p>
        </w:tc>
        <w:tc>
          <w:tcPr>
            <w:tcW w:w="1075" w:type="dxa"/>
            <w:tcBorders>
              <w:top w:val="nil"/>
              <w:left w:val="nil"/>
              <w:bottom w:val="nil"/>
              <w:right w:val="single" w:sz="4" w:space="0" w:color="auto"/>
            </w:tcBorders>
            <w:tcMar>
              <w:left w:w="0" w:type="dxa"/>
              <w:right w:w="284" w:type="dxa"/>
            </w:tcMar>
            <w:vAlign w:val="center"/>
          </w:tcPr>
          <w:p w14:paraId="6D2B073B" w14:textId="77777777" w:rsidR="00C02F63" w:rsidRDefault="00C02F63" w:rsidP="00FF5645">
            <w:pPr>
              <w:jc w:val="right"/>
              <w:rPr>
                <w:bCs/>
                <w:sz w:val="18"/>
              </w:rPr>
            </w:pPr>
            <w:r>
              <w:rPr>
                <w:bCs/>
                <w:sz w:val="18"/>
              </w:rPr>
              <w:t>+14,6</w:t>
            </w:r>
          </w:p>
        </w:tc>
        <w:tc>
          <w:tcPr>
            <w:tcW w:w="1074" w:type="dxa"/>
            <w:tcBorders>
              <w:top w:val="nil"/>
              <w:left w:val="single" w:sz="4" w:space="0" w:color="auto"/>
              <w:bottom w:val="nil"/>
              <w:right w:val="single" w:sz="4" w:space="0" w:color="auto"/>
            </w:tcBorders>
            <w:tcMar>
              <w:right w:w="227" w:type="dxa"/>
            </w:tcMar>
            <w:vAlign w:val="center"/>
          </w:tcPr>
          <w:p w14:paraId="26C14E68" w14:textId="77777777" w:rsidR="00C02F63" w:rsidRDefault="00C02F63" w:rsidP="00FF5645">
            <w:pPr>
              <w:jc w:val="right"/>
              <w:rPr>
                <w:rFonts w:cs="Arial"/>
                <w:sz w:val="18"/>
                <w:szCs w:val="18"/>
              </w:rPr>
            </w:pPr>
            <w:r>
              <w:rPr>
                <w:rFonts w:cs="Arial"/>
                <w:sz w:val="18"/>
                <w:szCs w:val="18"/>
              </w:rPr>
              <w:t>35 890</w:t>
            </w:r>
          </w:p>
        </w:tc>
        <w:tc>
          <w:tcPr>
            <w:tcW w:w="1074" w:type="dxa"/>
            <w:tcBorders>
              <w:top w:val="nil"/>
              <w:left w:val="single" w:sz="4" w:space="0" w:color="auto"/>
              <w:bottom w:val="nil"/>
              <w:right w:val="nil"/>
            </w:tcBorders>
            <w:tcMar>
              <w:left w:w="0" w:type="dxa"/>
              <w:right w:w="0" w:type="dxa"/>
            </w:tcMar>
            <w:vAlign w:val="center"/>
          </w:tcPr>
          <w:p w14:paraId="60E9BBE1" w14:textId="77777777" w:rsidR="00C02F63" w:rsidRPr="009D2522" w:rsidRDefault="00C02F63" w:rsidP="00FF5645">
            <w:pPr>
              <w:jc w:val="center"/>
              <w:rPr>
                <w:bCs/>
                <w:color w:val="FF0000"/>
                <w:sz w:val="28"/>
                <w:szCs w:val="28"/>
              </w:rPr>
            </w:pPr>
            <w:r w:rsidRPr="00CD6075">
              <w:rPr>
                <w:bCs/>
                <w:color w:val="92D050"/>
                <w:sz w:val="28"/>
                <w:szCs w:val="28"/>
              </w:rPr>
              <w:sym w:font="Wingdings 3" w:char="F0C7"/>
            </w:r>
          </w:p>
        </w:tc>
        <w:tc>
          <w:tcPr>
            <w:tcW w:w="1075" w:type="dxa"/>
            <w:tcBorders>
              <w:top w:val="nil"/>
              <w:left w:val="nil"/>
              <w:bottom w:val="nil"/>
            </w:tcBorders>
            <w:tcMar>
              <w:right w:w="284" w:type="dxa"/>
            </w:tcMar>
            <w:vAlign w:val="center"/>
          </w:tcPr>
          <w:p w14:paraId="01D98740" w14:textId="77777777" w:rsidR="00C02F63" w:rsidRDefault="00C02F63" w:rsidP="00FF5645">
            <w:pPr>
              <w:jc w:val="right"/>
              <w:rPr>
                <w:bCs/>
                <w:sz w:val="18"/>
              </w:rPr>
            </w:pPr>
            <w:r>
              <w:rPr>
                <w:bCs/>
                <w:sz w:val="18"/>
              </w:rPr>
              <w:t>+2,5</w:t>
            </w:r>
          </w:p>
        </w:tc>
      </w:tr>
      <w:tr w:rsidR="00C02F63" w14:paraId="5C6BD47A" w14:textId="77777777" w:rsidTr="00FF5645">
        <w:trPr>
          <w:cantSplit/>
          <w:trHeight w:val="284"/>
        </w:trPr>
        <w:tc>
          <w:tcPr>
            <w:tcW w:w="918" w:type="dxa"/>
            <w:vMerge/>
            <w:vAlign w:val="center"/>
          </w:tcPr>
          <w:p w14:paraId="066E955A" w14:textId="77777777" w:rsidR="00C02F63" w:rsidRDefault="00C02F63" w:rsidP="00FF5645">
            <w:pPr>
              <w:jc w:val="center"/>
              <w:rPr>
                <w:rFonts w:cs="Arial"/>
                <w:sz w:val="18"/>
                <w:szCs w:val="16"/>
              </w:rPr>
            </w:pPr>
          </w:p>
        </w:tc>
        <w:tc>
          <w:tcPr>
            <w:tcW w:w="1776" w:type="dxa"/>
            <w:tcBorders>
              <w:top w:val="nil"/>
              <w:bottom w:val="single" w:sz="4" w:space="0" w:color="auto"/>
            </w:tcBorders>
            <w:vAlign w:val="center"/>
          </w:tcPr>
          <w:p w14:paraId="5B64578A" w14:textId="77777777" w:rsidR="00C02F63" w:rsidRPr="00A20616" w:rsidRDefault="00C02F63" w:rsidP="00FF5645">
            <w:pPr>
              <w:rPr>
                <w:bCs/>
                <w:sz w:val="18"/>
                <w:szCs w:val="18"/>
              </w:rPr>
            </w:pPr>
            <w:r>
              <w:rPr>
                <w:bCs/>
                <w:sz w:val="18"/>
                <w:szCs w:val="18"/>
              </w:rPr>
              <w:t>3. čtvrtletí</w:t>
            </w:r>
          </w:p>
        </w:tc>
        <w:tc>
          <w:tcPr>
            <w:tcW w:w="1074" w:type="dxa"/>
            <w:tcBorders>
              <w:top w:val="nil"/>
              <w:bottom w:val="single" w:sz="4" w:space="0" w:color="auto"/>
              <w:right w:val="single" w:sz="4" w:space="0" w:color="auto"/>
            </w:tcBorders>
            <w:tcMar>
              <w:right w:w="284" w:type="dxa"/>
            </w:tcMar>
            <w:vAlign w:val="center"/>
          </w:tcPr>
          <w:p w14:paraId="337F2BAA" w14:textId="77777777" w:rsidR="00C02F63" w:rsidRDefault="00C02F63" w:rsidP="00FF5645">
            <w:pPr>
              <w:jc w:val="right"/>
              <w:rPr>
                <w:rFonts w:cs="Arial"/>
                <w:sz w:val="18"/>
                <w:szCs w:val="18"/>
              </w:rPr>
            </w:pPr>
            <w:r>
              <w:rPr>
                <w:rFonts w:cs="Arial"/>
                <w:sz w:val="18"/>
                <w:szCs w:val="18"/>
              </w:rPr>
              <w:t>307</w:t>
            </w:r>
          </w:p>
        </w:tc>
        <w:tc>
          <w:tcPr>
            <w:tcW w:w="1074" w:type="dxa"/>
            <w:tcBorders>
              <w:top w:val="nil"/>
              <w:left w:val="single" w:sz="4" w:space="0" w:color="auto"/>
              <w:bottom w:val="single" w:sz="4" w:space="0" w:color="auto"/>
              <w:right w:val="nil"/>
            </w:tcBorders>
            <w:vAlign w:val="center"/>
          </w:tcPr>
          <w:p w14:paraId="30BAED21" w14:textId="77777777" w:rsidR="00C02F63" w:rsidRPr="009D2522" w:rsidRDefault="00C02F63" w:rsidP="00FF5645">
            <w:pPr>
              <w:jc w:val="center"/>
              <w:rPr>
                <w:bCs/>
                <w:color w:val="FF0000"/>
                <w:sz w:val="28"/>
                <w:szCs w:val="28"/>
              </w:rPr>
            </w:pPr>
            <w:r w:rsidRPr="009D2522">
              <w:rPr>
                <w:bCs/>
                <w:color w:val="FF0000"/>
                <w:sz w:val="28"/>
                <w:szCs w:val="28"/>
              </w:rPr>
              <w:sym w:font="Wingdings 3" w:char="F0C8"/>
            </w:r>
          </w:p>
        </w:tc>
        <w:tc>
          <w:tcPr>
            <w:tcW w:w="1075" w:type="dxa"/>
            <w:tcBorders>
              <w:top w:val="nil"/>
              <w:left w:val="nil"/>
              <w:bottom w:val="single" w:sz="4" w:space="0" w:color="auto"/>
              <w:right w:val="single" w:sz="4" w:space="0" w:color="auto"/>
            </w:tcBorders>
            <w:tcMar>
              <w:left w:w="0" w:type="dxa"/>
              <w:right w:w="284" w:type="dxa"/>
            </w:tcMar>
            <w:vAlign w:val="center"/>
          </w:tcPr>
          <w:p w14:paraId="0E27D2B3" w14:textId="77777777" w:rsidR="00C02F63" w:rsidRDefault="00C02F63" w:rsidP="00FF5645">
            <w:pPr>
              <w:jc w:val="right"/>
              <w:rPr>
                <w:bCs/>
                <w:sz w:val="18"/>
              </w:rPr>
            </w:pPr>
            <w:r>
              <w:rPr>
                <w:bCs/>
                <w:sz w:val="18"/>
              </w:rPr>
              <w:t>-12,0</w:t>
            </w:r>
          </w:p>
        </w:tc>
        <w:tc>
          <w:tcPr>
            <w:tcW w:w="1074" w:type="dxa"/>
            <w:tcBorders>
              <w:top w:val="nil"/>
              <w:left w:val="single" w:sz="4" w:space="0" w:color="auto"/>
              <w:bottom w:val="single" w:sz="4" w:space="0" w:color="auto"/>
              <w:right w:val="single" w:sz="4" w:space="0" w:color="auto"/>
            </w:tcBorders>
            <w:tcMar>
              <w:right w:w="227" w:type="dxa"/>
            </w:tcMar>
            <w:vAlign w:val="center"/>
          </w:tcPr>
          <w:p w14:paraId="28CAC9FC" w14:textId="77777777" w:rsidR="00C02F63" w:rsidRDefault="00C02F63" w:rsidP="00FF5645">
            <w:pPr>
              <w:jc w:val="right"/>
              <w:rPr>
                <w:rFonts w:cs="Arial"/>
                <w:sz w:val="18"/>
                <w:szCs w:val="18"/>
              </w:rPr>
            </w:pPr>
            <w:r>
              <w:rPr>
                <w:rFonts w:cs="Arial"/>
                <w:sz w:val="18"/>
                <w:szCs w:val="18"/>
              </w:rPr>
              <w:t>24 944</w:t>
            </w:r>
          </w:p>
        </w:tc>
        <w:tc>
          <w:tcPr>
            <w:tcW w:w="1074" w:type="dxa"/>
            <w:tcBorders>
              <w:top w:val="nil"/>
              <w:left w:val="single" w:sz="4" w:space="0" w:color="auto"/>
              <w:bottom w:val="single" w:sz="4" w:space="0" w:color="auto"/>
              <w:right w:val="nil"/>
            </w:tcBorders>
            <w:tcMar>
              <w:left w:w="0" w:type="dxa"/>
              <w:right w:w="0" w:type="dxa"/>
            </w:tcMar>
            <w:vAlign w:val="center"/>
          </w:tcPr>
          <w:p w14:paraId="06B3A1CA" w14:textId="77777777" w:rsidR="00C02F63" w:rsidRPr="009D2522" w:rsidRDefault="00C02F63" w:rsidP="00FF5645">
            <w:pPr>
              <w:jc w:val="center"/>
              <w:rPr>
                <w:bCs/>
                <w:color w:val="FF0000"/>
                <w:sz w:val="28"/>
                <w:szCs w:val="28"/>
              </w:rPr>
            </w:pPr>
            <w:r w:rsidRPr="009D2522">
              <w:rPr>
                <w:bCs/>
                <w:color w:val="FF0000"/>
                <w:sz w:val="28"/>
                <w:szCs w:val="28"/>
              </w:rPr>
              <w:sym w:font="Wingdings 3" w:char="F0C8"/>
            </w:r>
          </w:p>
        </w:tc>
        <w:tc>
          <w:tcPr>
            <w:tcW w:w="1075" w:type="dxa"/>
            <w:tcBorders>
              <w:top w:val="nil"/>
              <w:left w:val="nil"/>
              <w:bottom w:val="single" w:sz="4" w:space="0" w:color="auto"/>
            </w:tcBorders>
            <w:tcMar>
              <w:right w:w="284" w:type="dxa"/>
            </w:tcMar>
            <w:vAlign w:val="center"/>
          </w:tcPr>
          <w:p w14:paraId="345282AC" w14:textId="77777777" w:rsidR="00C02F63" w:rsidRDefault="00C02F63" w:rsidP="00FF5645">
            <w:pPr>
              <w:jc w:val="right"/>
              <w:rPr>
                <w:bCs/>
                <w:sz w:val="18"/>
              </w:rPr>
            </w:pPr>
            <w:r>
              <w:rPr>
                <w:bCs/>
                <w:sz w:val="18"/>
              </w:rPr>
              <w:t>-37,3</w:t>
            </w:r>
          </w:p>
        </w:tc>
      </w:tr>
      <w:tr w:rsidR="00C02F63" w14:paraId="170E6FF0" w14:textId="77777777" w:rsidTr="00FF5645">
        <w:trPr>
          <w:cantSplit/>
          <w:trHeight w:val="284"/>
        </w:trPr>
        <w:tc>
          <w:tcPr>
            <w:tcW w:w="918" w:type="dxa"/>
            <w:vMerge/>
            <w:tcBorders>
              <w:bottom w:val="single" w:sz="4" w:space="0" w:color="auto"/>
            </w:tcBorders>
            <w:vAlign w:val="center"/>
          </w:tcPr>
          <w:p w14:paraId="2FC33DEA" w14:textId="77777777" w:rsidR="00C02F63" w:rsidRDefault="00C02F63" w:rsidP="00FF5645">
            <w:pPr>
              <w:jc w:val="center"/>
              <w:rPr>
                <w:rFonts w:cs="Arial"/>
                <w:sz w:val="18"/>
                <w:szCs w:val="16"/>
              </w:rPr>
            </w:pPr>
          </w:p>
        </w:tc>
        <w:tc>
          <w:tcPr>
            <w:tcW w:w="1776" w:type="dxa"/>
            <w:tcBorders>
              <w:top w:val="single" w:sz="4" w:space="0" w:color="auto"/>
              <w:bottom w:val="single" w:sz="4" w:space="0" w:color="auto"/>
            </w:tcBorders>
            <w:vAlign w:val="center"/>
          </w:tcPr>
          <w:p w14:paraId="702AFB91" w14:textId="77777777" w:rsidR="00C02F63" w:rsidRPr="00777BBB" w:rsidRDefault="00C02F63" w:rsidP="00FF5645">
            <w:pPr>
              <w:rPr>
                <w:b/>
                <w:sz w:val="18"/>
                <w:szCs w:val="18"/>
              </w:rPr>
            </w:pPr>
            <w:r w:rsidRPr="00777BBB">
              <w:rPr>
                <w:b/>
                <w:sz w:val="18"/>
                <w:szCs w:val="18"/>
              </w:rPr>
              <w:t>Leden až září</w:t>
            </w:r>
          </w:p>
        </w:tc>
        <w:tc>
          <w:tcPr>
            <w:tcW w:w="1074" w:type="dxa"/>
            <w:tcBorders>
              <w:top w:val="single" w:sz="4" w:space="0" w:color="auto"/>
              <w:bottom w:val="single" w:sz="4" w:space="0" w:color="auto"/>
              <w:right w:val="single" w:sz="4" w:space="0" w:color="auto"/>
            </w:tcBorders>
            <w:tcMar>
              <w:right w:w="284" w:type="dxa"/>
            </w:tcMar>
            <w:vAlign w:val="center"/>
          </w:tcPr>
          <w:p w14:paraId="3C01E768" w14:textId="77777777" w:rsidR="00C02F63" w:rsidRDefault="00C02F63" w:rsidP="00FF5645">
            <w:pPr>
              <w:jc w:val="right"/>
              <w:rPr>
                <w:rFonts w:cs="Arial"/>
                <w:sz w:val="18"/>
                <w:szCs w:val="18"/>
              </w:rPr>
            </w:pPr>
            <w:r>
              <w:rPr>
                <w:rFonts w:cs="Arial"/>
                <w:sz w:val="18"/>
                <w:szCs w:val="18"/>
              </w:rPr>
              <w:t>1 153</w:t>
            </w:r>
          </w:p>
        </w:tc>
        <w:tc>
          <w:tcPr>
            <w:tcW w:w="1074" w:type="dxa"/>
            <w:tcBorders>
              <w:top w:val="single" w:sz="4" w:space="0" w:color="auto"/>
              <w:left w:val="single" w:sz="4" w:space="0" w:color="auto"/>
              <w:bottom w:val="single" w:sz="4" w:space="0" w:color="auto"/>
              <w:right w:val="nil"/>
            </w:tcBorders>
            <w:vAlign w:val="center"/>
          </w:tcPr>
          <w:p w14:paraId="301752D4" w14:textId="77777777" w:rsidR="00C02F63" w:rsidRPr="009D2522" w:rsidRDefault="00C02F63" w:rsidP="00FF5645">
            <w:pPr>
              <w:jc w:val="center"/>
              <w:rPr>
                <w:bCs/>
                <w:color w:val="FF0000"/>
                <w:sz w:val="28"/>
                <w:szCs w:val="28"/>
              </w:rPr>
            </w:pPr>
            <w:r w:rsidRPr="00CD6075">
              <w:rPr>
                <w:bCs/>
                <w:color w:val="92D050"/>
                <w:sz w:val="28"/>
                <w:szCs w:val="28"/>
              </w:rPr>
              <w:sym w:font="Wingdings 3" w:char="F0C7"/>
            </w:r>
          </w:p>
        </w:tc>
        <w:tc>
          <w:tcPr>
            <w:tcW w:w="1075" w:type="dxa"/>
            <w:tcBorders>
              <w:top w:val="single" w:sz="4" w:space="0" w:color="auto"/>
              <w:left w:val="nil"/>
              <w:bottom w:val="single" w:sz="4" w:space="0" w:color="auto"/>
              <w:right w:val="single" w:sz="4" w:space="0" w:color="auto"/>
            </w:tcBorders>
            <w:tcMar>
              <w:left w:w="0" w:type="dxa"/>
              <w:right w:w="284" w:type="dxa"/>
            </w:tcMar>
            <w:vAlign w:val="center"/>
          </w:tcPr>
          <w:p w14:paraId="09D164E3" w14:textId="77777777" w:rsidR="00C02F63" w:rsidRDefault="00C02F63" w:rsidP="00FF5645">
            <w:pPr>
              <w:jc w:val="right"/>
              <w:rPr>
                <w:bCs/>
                <w:sz w:val="18"/>
              </w:rPr>
            </w:pPr>
            <w:r>
              <w:rPr>
                <w:bCs/>
                <w:sz w:val="18"/>
              </w:rPr>
              <w:t>+0,1</w:t>
            </w:r>
          </w:p>
        </w:tc>
        <w:tc>
          <w:tcPr>
            <w:tcW w:w="1074" w:type="dxa"/>
            <w:tcBorders>
              <w:top w:val="single" w:sz="4" w:space="0" w:color="auto"/>
              <w:left w:val="single" w:sz="4" w:space="0" w:color="auto"/>
              <w:bottom w:val="single" w:sz="4" w:space="0" w:color="auto"/>
              <w:right w:val="single" w:sz="4" w:space="0" w:color="auto"/>
            </w:tcBorders>
            <w:tcMar>
              <w:right w:w="227" w:type="dxa"/>
            </w:tcMar>
            <w:vAlign w:val="center"/>
          </w:tcPr>
          <w:p w14:paraId="41181216" w14:textId="77777777" w:rsidR="00C02F63" w:rsidRDefault="00C02F63" w:rsidP="00FF5645">
            <w:pPr>
              <w:jc w:val="right"/>
              <w:rPr>
                <w:rFonts w:cs="Arial"/>
                <w:sz w:val="18"/>
                <w:szCs w:val="18"/>
              </w:rPr>
            </w:pPr>
            <w:r>
              <w:rPr>
                <w:rFonts w:cs="Arial"/>
                <w:sz w:val="18"/>
                <w:szCs w:val="18"/>
              </w:rPr>
              <w:t>88 390</w:t>
            </w:r>
          </w:p>
        </w:tc>
        <w:tc>
          <w:tcPr>
            <w:tcW w:w="1074" w:type="dxa"/>
            <w:tcBorders>
              <w:top w:val="single" w:sz="4" w:space="0" w:color="auto"/>
              <w:left w:val="single" w:sz="4" w:space="0" w:color="auto"/>
              <w:bottom w:val="single" w:sz="4" w:space="0" w:color="auto"/>
              <w:right w:val="nil"/>
            </w:tcBorders>
            <w:tcMar>
              <w:left w:w="0" w:type="dxa"/>
              <w:right w:w="0" w:type="dxa"/>
            </w:tcMar>
            <w:vAlign w:val="center"/>
          </w:tcPr>
          <w:p w14:paraId="537AA39E" w14:textId="77777777" w:rsidR="00C02F63" w:rsidRPr="009D2522" w:rsidRDefault="00C02F63" w:rsidP="00FF5645">
            <w:pPr>
              <w:jc w:val="center"/>
              <w:rPr>
                <w:bCs/>
                <w:color w:val="FF0000"/>
                <w:sz w:val="28"/>
                <w:szCs w:val="28"/>
              </w:rPr>
            </w:pPr>
            <w:r w:rsidRPr="009D2522">
              <w:rPr>
                <w:bCs/>
                <w:color w:val="FF0000"/>
                <w:sz w:val="28"/>
                <w:szCs w:val="28"/>
              </w:rPr>
              <w:sym w:font="Wingdings 3" w:char="F0C8"/>
            </w:r>
          </w:p>
        </w:tc>
        <w:tc>
          <w:tcPr>
            <w:tcW w:w="1075" w:type="dxa"/>
            <w:tcBorders>
              <w:top w:val="single" w:sz="4" w:space="0" w:color="auto"/>
              <w:left w:val="nil"/>
              <w:bottom w:val="single" w:sz="4" w:space="0" w:color="auto"/>
            </w:tcBorders>
            <w:tcMar>
              <w:right w:w="284" w:type="dxa"/>
            </w:tcMar>
            <w:vAlign w:val="center"/>
          </w:tcPr>
          <w:p w14:paraId="22E3C522" w14:textId="77777777" w:rsidR="00C02F63" w:rsidRDefault="00C02F63" w:rsidP="00FF5645">
            <w:pPr>
              <w:jc w:val="right"/>
              <w:rPr>
                <w:bCs/>
                <w:sz w:val="18"/>
              </w:rPr>
            </w:pPr>
            <w:r>
              <w:rPr>
                <w:bCs/>
                <w:sz w:val="18"/>
              </w:rPr>
              <w:t>-29,0</w:t>
            </w:r>
          </w:p>
        </w:tc>
      </w:tr>
    </w:tbl>
    <w:p w14:paraId="1FE901B6" w14:textId="77777777" w:rsidR="00C02F63" w:rsidRDefault="00C02F63" w:rsidP="00C02F63">
      <w:pPr>
        <w:rPr>
          <w:bCs/>
          <w:sz w:val="16"/>
          <w:szCs w:val="16"/>
        </w:rPr>
      </w:pPr>
      <w:r>
        <w:rPr>
          <w:bCs/>
          <w:sz w:val="16"/>
          <w:szCs w:val="16"/>
        </w:rPr>
        <w:t>Zdroj: Věstník veřejných zakázek, výpočty CEEC Research</w:t>
      </w:r>
    </w:p>
    <w:p w14:paraId="3DBA8F72" w14:textId="77777777" w:rsidR="00C02F63" w:rsidRPr="003D312E" w:rsidRDefault="00C02F63" w:rsidP="003D312E">
      <w:pPr>
        <w:spacing w:line="360" w:lineRule="auto"/>
        <w:jc w:val="both"/>
        <w:rPr>
          <w:rFonts w:asciiTheme="majorHAnsi" w:hAnsiTheme="majorHAnsi" w:cstheme="majorHAnsi"/>
          <w:bCs/>
        </w:rPr>
      </w:pPr>
      <w:r w:rsidRPr="003D312E">
        <w:rPr>
          <w:rFonts w:asciiTheme="majorHAnsi" w:hAnsiTheme="majorHAnsi" w:cstheme="majorHAnsi"/>
          <w:bCs/>
        </w:rPr>
        <w:t>Určitá část z oznámených zakázek je v následujících měsících zrušena a některé z nich mohou být znovu oznámeny jako další zakázka. Ze zakázek, které byly oznámeny v lednu až září 2021, bylo zrušeno 10 %. Rušení oznámených zakázek má vliv také na jejich celkový objem, který do značné míry závisí na velikosti zrušené zakázky. Pokud se zruší velká zakázka, má to větší vliv než zrušení většího počtu zakázek menších. Co se týká předběžného objemu, bylo zatím zrušeno 5 % z celkové hodnoty zakázek oznámených v lednu až září 2021. K dalšímu rušení zakázek bude ještě velmi pravděpodobně docházet, takže poměry se dále budou měnit.</w:t>
      </w:r>
    </w:p>
    <w:p w14:paraId="42A2EC33" w14:textId="77777777" w:rsidR="00C02F63" w:rsidRPr="003D312E" w:rsidRDefault="00C02F63" w:rsidP="003D312E">
      <w:pPr>
        <w:spacing w:line="360" w:lineRule="auto"/>
        <w:jc w:val="both"/>
        <w:rPr>
          <w:rFonts w:asciiTheme="majorHAnsi" w:hAnsiTheme="majorHAnsi" w:cstheme="majorHAnsi"/>
          <w:bCs/>
        </w:rPr>
      </w:pPr>
      <w:r w:rsidRPr="003D312E">
        <w:rPr>
          <w:rFonts w:asciiTheme="majorHAnsi" w:hAnsiTheme="majorHAnsi" w:cstheme="majorHAnsi"/>
          <w:bCs/>
        </w:rPr>
        <w:t>Značná část oznámených zakázek je časem zadána konkrétnímu dodavateli. Ze zakázek, které byly oznámeny v lednu až září 2021, bylo zadáno 44 %. Co se týká hodnoty, bylo zadáno zatím 32 % z celkového objemu zakázek oznámených v lednu až září 2021. Většina zadávacích řízení však ještě běží a data o zadaných zakázkách budou dále aktualizována.</w:t>
      </w:r>
    </w:p>
    <w:p w14:paraId="066DC0D7" w14:textId="29E4939C" w:rsidR="000056FC" w:rsidRPr="000056FC" w:rsidRDefault="000056FC" w:rsidP="000056FC">
      <w:r>
        <w:rPr>
          <w:noProof/>
        </w:rPr>
        <w:lastRenderedPageBreak/>
        <w:drawing>
          <wp:inline distT="0" distB="0" distL="0" distR="0" wp14:anchorId="40FF838A" wp14:editId="34A9E021">
            <wp:extent cx="5760720" cy="37141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714115"/>
                    </a:xfrm>
                    <a:prstGeom prst="rect">
                      <a:avLst/>
                    </a:prstGeom>
                  </pic:spPr>
                </pic:pic>
              </a:graphicData>
            </a:graphic>
          </wp:inline>
        </w:drawing>
      </w:r>
    </w:p>
    <w:p w14:paraId="531A08B8" w14:textId="5F0AD8FE" w:rsidR="00C02F63" w:rsidRDefault="00C02F63" w:rsidP="003D312E">
      <w:pPr>
        <w:autoSpaceDE w:val="0"/>
        <w:autoSpaceDN w:val="0"/>
        <w:adjustRightInd w:val="0"/>
        <w:spacing w:line="360" w:lineRule="auto"/>
        <w:jc w:val="both"/>
        <w:rPr>
          <w:rFonts w:asciiTheme="majorHAnsi" w:hAnsiTheme="majorHAnsi" w:cstheme="majorHAnsi"/>
          <w:b/>
          <w:bCs/>
        </w:rPr>
      </w:pPr>
      <w:r w:rsidRPr="003D312E">
        <w:rPr>
          <w:rFonts w:asciiTheme="majorHAnsi" w:hAnsiTheme="majorHAnsi" w:cstheme="majorHAnsi"/>
          <w:bCs/>
          <w:szCs w:val="20"/>
        </w:rPr>
        <w:t>V </w:t>
      </w:r>
      <w:r w:rsidRPr="003D312E">
        <w:rPr>
          <w:rFonts w:asciiTheme="majorHAnsi" w:hAnsiTheme="majorHAnsi" w:cstheme="majorHAnsi"/>
          <w:bCs/>
        </w:rPr>
        <w:t xml:space="preserve">lednu až září 2021 </w:t>
      </w:r>
      <w:r w:rsidRPr="003D312E">
        <w:rPr>
          <w:rFonts w:asciiTheme="majorHAnsi" w:hAnsiTheme="majorHAnsi" w:cstheme="majorHAnsi"/>
          <w:bCs/>
          <w:szCs w:val="20"/>
        </w:rPr>
        <w:t xml:space="preserve">bylo zadáno 5 395 zakázek (včetně částí zakázek), což je o 10,0 % více než v stejném období minulého roku. </w:t>
      </w:r>
      <w:r w:rsidRPr="003D312E">
        <w:rPr>
          <w:rFonts w:asciiTheme="majorHAnsi" w:hAnsiTheme="majorHAnsi" w:cstheme="majorHAnsi"/>
          <w:szCs w:val="20"/>
        </w:rPr>
        <w:t xml:space="preserve">Hodnota zakázek zadaných v </w:t>
      </w:r>
      <w:r w:rsidRPr="003D312E">
        <w:rPr>
          <w:rFonts w:asciiTheme="majorHAnsi" w:hAnsiTheme="majorHAnsi" w:cstheme="majorHAnsi"/>
          <w:bCs/>
        </w:rPr>
        <w:t xml:space="preserve">lednu až září 2021 </w:t>
      </w:r>
      <w:r w:rsidRPr="003D312E">
        <w:rPr>
          <w:rFonts w:asciiTheme="majorHAnsi" w:hAnsiTheme="majorHAnsi" w:cstheme="majorHAnsi"/>
          <w:szCs w:val="20"/>
        </w:rPr>
        <w:t xml:space="preserve">činila 183,8 mld. Kč, což představovalo růst o 34,1 %. Výrazný růst hodnoty zadaných zakázek ovlivnila zakázka Ministerstva dopravy na projektování, výstavbu, financování, provozování a údržba dálnice D4 v úseku Háje – Mirotice a provozování a údržba existujících přiléhajících úseků Skalka – Háje a Mirotice – Krašovice, projekt PPP v hodnotě 32 mld. Kč. </w:t>
      </w:r>
      <w:r w:rsidRPr="003D312E">
        <w:rPr>
          <w:rFonts w:asciiTheme="majorHAnsi" w:hAnsiTheme="majorHAnsi" w:cstheme="majorHAnsi"/>
          <w:bCs/>
        </w:rPr>
        <w:t>Pokud bychom modelově posuzovali pouze zakázky s hodnotou pod 1 mld. Kč, dostaneme meziroční růst hodnoty zadaných zakázek o 3,5 %.</w:t>
      </w:r>
      <w:r w:rsidR="003D312E">
        <w:rPr>
          <w:rFonts w:asciiTheme="majorHAnsi" w:hAnsiTheme="majorHAnsi" w:cstheme="majorHAnsi"/>
          <w:bCs/>
        </w:rPr>
        <w:t xml:space="preserve"> </w:t>
      </w:r>
      <w:r w:rsidR="006721AA" w:rsidRPr="003D312E">
        <w:rPr>
          <w:rFonts w:asciiTheme="majorHAnsi" w:hAnsiTheme="majorHAnsi" w:cstheme="majorHAnsi"/>
          <w:i/>
          <w:iCs/>
        </w:rPr>
        <w:t>„</w:t>
      </w:r>
      <w:r w:rsidRPr="003D312E">
        <w:rPr>
          <w:rFonts w:asciiTheme="majorHAnsi" w:hAnsiTheme="majorHAnsi" w:cstheme="majorHAnsi"/>
          <w:i/>
          <w:iCs/>
        </w:rPr>
        <w:t>Doufám, že se podaří navázat na rychlejší přípravu staveb, která se již letos zúročila především v oblasti nových úseků dálnic a modernizovaných železnic. Kéž by se situace zlepšila i v oblasti tunelových staveb, kde dlouhodobě sledujeme velký deficit zakázek. Zároveň věřím, že se stabilizuje konkurenční prostředí a že budeme společně s ostatními velkými hráči soupeřit o zakázky prostřednictvím reálných cen a kvalitou výstavby, a ne prostřednictvím dumpingových cen, účelových odvolání, podnětů ke kontrolním orgánům či dokonce žalob.</w:t>
      </w:r>
      <w:r w:rsidR="006721AA" w:rsidRPr="003D312E">
        <w:rPr>
          <w:rFonts w:asciiTheme="majorHAnsi" w:hAnsiTheme="majorHAnsi" w:cstheme="majorHAnsi"/>
          <w:i/>
          <w:iCs/>
        </w:rPr>
        <w:t xml:space="preserve">“ </w:t>
      </w:r>
      <w:r w:rsidR="006721AA" w:rsidRPr="003D312E">
        <w:rPr>
          <w:rFonts w:asciiTheme="majorHAnsi" w:hAnsiTheme="majorHAnsi" w:cstheme="majorHAnsi"/>
        </w:rPr>
        <w:t xml:space="preserve">dodává </w:t>
      </w:r>
      <w:r w:rsidRPr="003D312E">
        <w:rPr>
          <w:rFonts w:asciiTheme="majorHAnsi" w:hAnsiTheme="majorHAnsi" w:cstheme="majorHAnsi"/>
          <w:b/>
          <w:bCs/>
        </w:rPr>
        <w:t>Tomáš Koranda</w:t>
      </w:r>
      <w:r w:rsidR="003D312E">
        <w:rPr>
          <w:rFonts w:asciiTheme="majorHAnsi" w:hAnsiTheme="majorHAnsi" w:cstheme="majorHAnsi"/>
          <w:b/>
          <w:bCs/>
        </w:rPr>
        <w:t xml:space="preserve">, </w:t>
      </w:r>
      <w:r w:rsidRPr="003D312E">
        <w:rPr>
          <w:rFonts w:asciiTheme="majorHAnsi" w:hAnsiTheme="majorHAnsi" w:cstheme="majorHAnsi"/>
          <w:b/>
          <w:bCs/>
        </w:rPr>
        <w:t>předseda představenstva a generální ředitel společnosti HOCHTIEF CZ a. s.</w:t>
      </w:r>
    </w:p>
    <w:p w14:paraId="3E336B67" w14:textId="55AC342B" w:rsidR="003D312E" w:rsidRDefault="003D312E" w:rsidP="003D312E">
      <w:pPr>
        <w:autoSpaceDE w:val="0"/>
        <w:autoSpaceDN w:val="0"/>
        <w:adjustRightInd w:val="0"/>
        <w:spacing w:line="360" w:lineRule="auto"/>
        <w:jc w:val="both"/>
        <w:rPr>
          <w:rFonts w:asciiTheme="majorHAnsi" w:hAnsiTheme="majorHAnsi" w:cstheme="majorHAnsi"/>
          <w:b/>
          <w:bCs/>
        </w:rPr>
      </w:pPr>
    </w:p>
    <w:p w14:paraId="4A5A4916" w14:textId="04B2A750" w:rsidR="003D312E" w:rsidRDefault="003D312E" w:rsidP="003D312E">
      <w:pPr>
        <w:autoSpaceDE w:val="0"/>
        <w:autoSpaceDN w:val="0"/>
        <w:adjustRightInd w:val="0"/>
        <w:spacing w:line="360" w:lineRule="auto"/>
        <w:jc w:val="both"/>
        <w:rPr>
          <w:rFonts w:asciiTheme="majorHAnsi" w:hAnsiTheme="majorHAnsi" w:cstheme="majorHAnsi"/>
          <w:b/>
          <w:bCs/>
        </w:rPr>
      </w:pPr>
    </w:p>
    <w:p w14:paraId="54C96521" w14:textId="77777777" w:rsidR="003D312E" w:rsidRPr="003D312E" w:rsidRDefault="003D312E" w:rsidP="003D312E">
      <w:pPr>
        <w:autoSpaceDE w:val="0"/>
        <w:autoSpaceDN w:val="0"/>
        <w:adjustRightInd w:val="0"/>
        <w:spacing w:line="360" w:lineRule="auto"/>
        <w:jc w:val="both"/>
        <w:rPr>
          <w:rFonts w:asciiTheme="majorHAnsi" w:hAnsiTheme="majorHAnsi" w:cstheme="majorHAnsi"/>
          <w:bCs/>
        </w:rPr>
      </w:pPr>
    </w:p>
    <w:p w14:paraId="28CD67A4" w14:textId="77777777" w:rsidR="00C02F63" w:rsidRPr="003D312E" w:rsidRDefault="00C02F63" w:rsidP="00C02F63">
      <w:pPr>
        <w:rPr>
          <w:b/>
          <w:bCs/>
        </w:rPr>
      </w:pPr>
      <w:r w:rsidRPr="003D312E">
        <w:rPr>
          <w:b/>
          <w:bCs/>
        </w:rPr>
        <w:lastRenderedPageBreak/>
        <w:t xml:space="preserve">Meziroční změny </w:t>
      </w:r>
      <w:r w:rsidRPr="003D312E">
        <w:rPr>
          <w:rFonts w:asciiTheme="majorHAnsi" w:hAnsiTheme="majorHAnsi" w:cstheme="majorHAnsi"/>
          <w:b/>
          <w:bCs/>
        </w:rPr>
        <w:t>oznámení</w:t>
      </w:r>
      <w:r w:rsidRPr="003D312E">
        <w:rPr>
          <w:b/>
          <w:bCs/>
        </w:rPr>
        <w:t xml:space="preserve"> o zadání zakázky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1740"/>
        <w:gridCol w:w="1063"/>
        <w:gridCol w:w="1051"/>
        <w:gridCol w:w="1062"/>
        <w:gridCol w:w="1068"/>
        <w:gridCol w:w="1046"/>
        <w:gridCol w:w="1064"/>
      </w:tblGrid>
      <w:tr w:rsidR="00C02F63" w14:paraId="6F6372AA" w14:textId="77777777" w:rsidTr="00FF5645">
        <w:trPr>
          <w:cantSplit/>
          <w:trHeight w:val="284"/>
        </w:trPr>
        <w:tc>
          <w:tcPr>
            <w:tcW w:w="2694" w:type="dxa"/>
            <w:gridSpan w:val="2"/>
            <w:vMerge w:val="restart"/>
            <w:tcBorders>
              <w:top w:val="nil"/>
              <w:left w:val="nil"/>
            </w:tcBorders>
            <w:vAlign w:val="center"/>
          </w:tcPr>
          <w:p w14:paraId="6B0DCE86" w14:textId="77777777" w:rsidR="00C02F63" w:rsidRDefault="00C02F63" w:rsidP="00FF5645">
            <w:pPr>
              <w:jc w:val="center"/>
              <w:rPr>
                <w:bCs/>
                <w:sz w:val="18"/>
              </w:rPr>
            </w:pPr>
            <w:r>
              <w:rPr>
                <w:bCs/>
                <w:sz w:val="18"/>
              </w:rPr>
              <w:t>Stavební zakázky</w:t>
            </w:r>
          </w:p>
        </w:tc>
        <w:tc>
          <w:tcPr>
            <w:tcW w:w="3223" w:type="dxa"/>
            <w:gridSpan w:val="3"/>
            <w:vAlign w:val="center"/>
          </w:tcPr>
          <w:p w14:paraId="0BB8E39E" w14:textId="77777777" w:rsidR="00C02F63" w:rsidRDefault="00C02F63" w:rsidP="00FF5645">
            <w:pPr>
              <w:jc w:val="center"/>
              <w:rPr>
                <w:bCs/>
                <w:sz w:val="18"/>
              </w:rPr>
            </w:pPr>
            <w:r>
              <w:rPr>
                <w:bCs/>
                <w:sz w:val="18"/>
              </w:rPr>
              <w:t>Počet</w:t>
            </w:r>
          </w:p>
        </w:tc>
        <w:tc>
          <w:tcPr>
            <w:tcW w:w="3223" w:type="dxa"/>
            <w:gridSpan w:val="3"/>
            <w:vAlign w:val="center"/>
          </w:tcPr>
          <w:p w14:paraId="4F00DE78" w14:textId="77777777" w:rsidR="00C02F63" w:rsidRDefault="00C02F63" w:rsidP="00FF5645">
            <w:pPr>
              <w:jc w:val="center"/>
              <w:rPr>
                <w:bCs/>
                <w:sz w:val="18"/>
              </w:rPr>
            </w:pPr>
            <w:r>
              <w:rPr>
                <w:bCs/>
                <w:sz w:val="18"/>
              </w:rPr>
              <w:t>Hodnota</w:t>
            </w:r>
          </w:p>
        </w:tc>
      </w:tr>
      <w:tr w:rsidR="00C02F63" w14:paraId="3BA44B62" w14:textId="77777777" w:rsidTr="00FF5645">
        <w:trPr>
          <w:cantSplit/>
          <w:trHeight w:val="284"/>
        </w:trPr>
        <w:tc>
          <w:tcPr>
            <w:tcW w:w="2694" w:type="dxa"/>
            <w:gridSpan w:val="2"/>
            <w:vMerge/>
            <w:tcBorders>
              <w:left w:val="nil"/>
              <w:bottom w:val="single" w:sz="4" w:space="0" w:color="auto"/>
            </w:tcBorders>
          </w:tcPr>
          <w:p w14:paraId="5532D220" w14:textId="77777777" w:rsidR="00C02F63" w:rsidRDefault="00C02F63" w:rsidP="00FF5645">
            <w:pPr>
              <w:jc w:val="center"/>
              <w:rPr>
                <w:bCs/>
                <w:sz w:val="18"/>
              </w:rPr>
            </w:pPr>
          </w:p>
        </w:tc>
        <w:tc>
          <w:tcPr>
            <w:tcW w:w="1074" w:type="dxa"/>
            <w:tcBorders>
              <w:bottom w:val="single" w:sz="4" w:space="0" w:color="auto"/>
              <w:right w:val="single" w:sz="4" w:space="0" w:color="auto"/>
            </w:tcBorders>
            <w:vAlign w:val="center"/>
          </w:tcPr>
          <w:p w14:paraId="19B404E5" w14:textId="77777777" w:rsidR="00C02F63" w:rsidRDefault="00C02F63" w:rsidP="00FF5645">
            <w:pPr>
              <w:jc w:val="center"/>
              <w:rPr>
                <w:bCs/>
                <w:sz w:val="18"/>
              </w:rPr>
            </w:pPr>
            <w:r>
              <w:rPr>
                <w:bCs/>
                <w:sz w:val="18"/>
              </w:rPr>
              <w:t>Počet</w:t>
            </w:r>
          </w:p>
        </w:tc>
        <w:tc>
          <w:tcPr>
            <w:tcW w:w="2149" w:type="dxa"/>
            <w:gridSpan w:val="2"/>
            <w:tcBorders>
              <w:left w:val="single" w:sz="4" w:space="0" w:color="auto"/>
              <w:bottom w:val="single" w:sz="4" w:space="0" w:color="auto"/>
              <w:right w:val="single" w:sz="4" w:space="0" w:color="auto"/>
            </w:tcBorders>
            <w:vAlign w:val="center"/>
          </w:tcPr>
          <w:p w14:paraId="2A2C94EB" w14:textId="77777777" w:rsidR="00C02F63" w:rsidRDefault="00C02F63" w:rsidP="00FF5645">
            <w:pPr>
              <w:jc w:val="center"/>
              <w:rPr>
                <w:bCs/>
                <w:sz w:val="18"/>
              </w:rPr>
            </w:pPr>
            <w:r>
              <w:rPr>
                <w:bCs/>
                <w:sz w:val="18"/>
                <w:szCs w:val="18"/>
              </w:rPr>
              <w:t>Meziroční změna v %</w:t>
            </w:r>
          </w:p>
        </w:tc>
        <w:tc>
          <w:tcPr>
            <w:tcW w:w="1074" w:type="dxa"/>
            <w:tcBorders>
              <w:left w:val="single" w:sz="4" w:space="0" w:color="auto"/>
              <w:bottom w:val="single" w:sz="4" w:space="0" w:color="auto"/>
            </w:tcBorders>
            <w:vAlign w:val="center"/>
          </w:tcPr>
          <w:p w14:paraId="0B59B90A" w14:textId="77777777" w:rsidR="00C02F63" w:rsidRDefault="00C02F63" w:rsidP="00FF5645">
            <w:pPr>
              <w:jc w:val="center"/>
              <w:rPr>
                <w:bCs/>
                <w:sz w:val="18"/>
              </w:rPr>
            </w:pPr>
            <w:r>
              <w:rPr>
                <w:bCs/>
                <w:sz w:val="18"/>
              </w:rPr>
              <w:t>mil. Kč</w:t>
            </w:r>
          </w:p>
        </w:tc>
        <w:tc>
          <w:tcPr>
            <w:tcW w:w="2149" w:type="dxa"/>
            <w:gridSpan w:val="2"/>
            <w:tcBorders>
              <w:left w:val="single" w:sz="4" w:space="0" w:color="auto"/>
              <w:bottom w:val="single" w:sz="4" w:space="0" w:color="auto"/>
            </w:tcBorders>
            <w:vAlign w:val="center"/>
          </w:tcPr>
          <w:p w14:paraId="0C1C7AEB" w14:textId="77777777" w:rsidR="00C02F63" w:rsidRDefault="00C02F63" w:rsidP="00FF5645">
            <w:pPr>
              <w:jc w:val="center"/>
              <w:rPr>
                <w:bCs/>
                <w:sz w:val="18"/>
              </w:rPr>
            </w:pPr>
            <w:r>
              <w:rPr>
                <w:bCs/>
                <w:sz w:val="18"/>
                <w:szCs w:val="18"/>
              </w:rPr>
              <w:t>Meziroční změna v %</w:t>
            </w:r>
          </w:p>
        </w:tc>
      </w:tr>
      <w:tr w:rsidR="00C02F63" w14:paraId="12874F2A" w14:textId="77777777" w:rsidTr="00FF5645">
        <w:trPr>
          <w:cantSplit/>
          <w:trHeight w:val="284"/>
        </w:trPr>
        <w:tc>
          <w:tcPr>
            <w:tcW w:w="918" w:type="dxa"/>
            <w:vMerge w:val="restart"/>
            <w:vAlign w:val="center"/>
          </w:tcPr>
          <w:p w14:paraId="28ECC96B" w14:textId="77777777" w:rsidR="00C02F63" w:rsidRDefault="00C02F63" w:rsidP="00FF5645">
            <w:pPr>
              <w:jc w:val="center"/>
              <w:rPr>
                <w:rFonts w:cs="Arial"/>
                <w:sz w:val="18"/>
                <w:szCs w:val="16"/>
              </w:rPr>
            </w:pPr>
            <w:r>
              <w:rPr>
                <w:rFonts w:cs="Arial"/>
                <w:sz w:val="18"/>
                <w:szCs w:val="16"/>
              </w:rPr>
              <w:t>2020</w:t>
            </w:r>
          </w:p>
        </w:tc>
        <w:tc>
          <w:tcPr>
            <w:tcW w:w="1776" w:type="dxa"/>
            <w:tcBorders>
              <w:top w:val="single" w:sz="4" w:space="0" w:color="auto"/>
              <w:bottom w:val="nil"/>
            </w:tcBorders>
            <w:vAlign w:val="center"/>
          </w:tcPr>
          <w:p w14:paraId="1EF7C70B" w14:textId="77777777" w:rsidR="00C02F63" w:rsidRDefault="00C02F63" w:rsidP="00FF5645">
            <w:pPr>
              <w:rPr>
                <w:bCs/>
                <w:sz w:val="18"/>
              </w:rPr>
            </w:pPr>
            <w:r w:rsidRPr="00D164B4">
              <w:rPr>
                <w:sz w:val="18"/>
                <w:szCs w:val="18"/>
              </w:rPr>
              <w:t>1. čtvrtletí</w:t>
            </w:r>
          </w:p>
        </w:tc>
        <w:tc>
          <w:tcPr>
            <w:tcW w:w="1074" w:type="dxa"/>
            <w:tcBorders>
              <w:top w:val="single" w:sz="4" w:space="0" w:color="auto"/>
              <w:bottom w:val="nil"/>
              <w:right w:val="single" w:sz="4" w:space="0" w:color="auto"/>
            </w:tcBorders>
            <w:tcMar>
              <w:right w:w="284" w:type="dxa"/>
            </w:tcMar>
            <w:vAlign w:val="center"/>
          </w:tcPr>
          <w:p w14:paraId="229BBB2D" w14:textId="77777777" w:rsidR="00C02F63" w:rsidRPr="008B09DA" w:rsidRDefault="00C02F63" w:rsidP="00FF5645">
            <w:pPr>
              <w:jc w:val="right"/>
              <w:rPr>
                <w:rFonts w:cs="Arial"/>
                <w:sz w:val="18"/>
                <w:szCs w:val="18"/>
              </w:rPr>
            </w:pPr>
            <w:r w:rsidRPr="004452A8">
              <w:rPr>
                <w:rFonts w:cs="Arial"/>
                <w:sz w:val="18"/>
                <w:szCs w:val="18"/>
              </w:rPr>
              <w:t>1 1</w:t>
            </w:r>
            <w:r>
              <w:rPr>
                <w:rFonts w:cs="Arial"/>
                <w:sz w:val="18"/>
                <w:szCs w:val="18"/>
              </w:rPr>
              <w:t>31</w:t>
            </w:r>
          </w:p>
        </w:tc>
        <w:tc>
          <w:tcPr>
            <w:tcW w:w="1074" w:type="dxa"/>
            <w:tcBorders>
              <w:top w:val="single" w:sz="4" w:space="0" w:color="auto"/>
              <w:left w:val="single" w:sz="4" w:space="0" w:color="auto"/>
              <w:bottom w:val="nil"/>
              <w:right w:val="nil"/>
            </w:tcBorders>
            <w:vAlign w:val="center"/>
          </w:tcPr>
          <w:p w14:paraId="4B688071" w14:textId="77777777" w:rsidR="00C02F63" w:rsidRPr="008B09DA" w:rsidRDefault="00C02F63" w:rsidP="00FF5645">
            <w:pPr>
              <w:jc w:val="center"/>
              <w:rPr>
                <w:bCs/>
                <w:color w:val="92D050"/>
                <w:sz w:val="28"/>
                <w:szCs w:val="28"/>
              </w:rPr>
            </w:pPr>
            <w:r w:rsidRPr="004452A8">
              <w:rPr>
                <w:bCs/>
                <w:color w:val="92D050"/>
                <w:sz w:val="28"/>
                <w:szCs w:val="28"/>
              </w:rPr>
              <w:sym w:font="Wingdings 3" w:char="F0C7"/>
            </w:r>
          </w:p>
        </w:tc>
        <w:tc>
          <w:tcPr>
            <w:tcW w:w="1075" w:type="dxa"/>
            <w:tcBorders>
              <w:top w:val="single" w:sz="4" w:space="0" w:color="auto"/>
              <w:left w:val="nil"/>
              <w:bottom w:val="nil"/>
              <w:right w:val="single" w:sz="4" w:space="0" w:color="auto"/>
            </w:tcBorders>
            <w:tcMar>
              <w:left w:w="0" w:type="dxa"/>
              <w:right w:w="284" w:type="dxa"/>
            </w:tcMar>
            <w:vAlign w:val="center"/>
          </w:tcPr>
          <w:p w14:paraId="031459C1" w14:textId="77777777" w:rsidR="00C02F63" w:rsidRPr="008B09DA" w:rsidRDefault="00C02F63" w:rsidP="00FF5645">
            <w:pPr>
              <w:jc w:val="right"/>
              <w:rPr>
                <w:bCs/>
                <w:sz w:val="18"/>
              </w:rPr>
            </w:pPr>
            <w:r w:rsidRPr="004452A8">
              <w:rPr>
                <w:bCs/>
                <w:sz w:val="18"/>
              </w:rPr>
              <w:t>+1</w:t>
            </w:r>
            <w:r>
              <w:rPr>
                <w:bCs/>
                <w:sz w:val="18"/>
              </w:rPr>
              <w:t>2,1</w:t>
            </w:r>
          </w:p>
        </w:tc>
        <w:tc>
          <w:tcPr>
            <w:tcW w:w="1074" w:type="dxa"/>
            <w:tcBorders>
              <w:top w:val="single" w:sz="4" w:space="0" w:color="auto"/>
              <w:left w:val="single" w:sz="4" w:space="0" w:color="auto"/>
              <w:bottom w:val="nil"/>
              <w:right w:val="single" w:sz="4" w:space="0" w:color="auto"/>
            </w:tcBorders>
            <w:tcMar>
              <w:right w:w="227" w:type="dxa"/>
            </w:tcMar>
            <w:vAlign w:val="center"/>
          </w:tcPr>
          <w:p w14:paraId="3EC3E767" w14:textId="77777777" w:rsidR="00C02F63" w:rsidRPr="008B09DA" w:rsidRDefault="00C02F63" w:rsidP="00FF5645">
            <w:pPr>
              <w:jc w:val="right"/>
              <w:rPr>
                <w:rFonts w:cs="Arial"/>
                <w:sz w:val="18"/>
                <w:szCs w:val="18"/>
              </w:rPr>
            </w:pPr>
            <w:r>
              <w:rPr>
                <w:rFonts w:cs="Arial"/>
                <w:sz w:val="18"/>
                <w:szCs w:val="18"/>
              </w:rPr>
              <w:t>39 115</w:t>
            </w:r>
          </w:p>
        </w:tc>
        <w:tc>
          <w:tcPr>
            <w:tcW w:w="1074" w:type="dxa"/>
            <w:tcBorders>
              <w:top w:val="single" w:sz="4" w:space="0" w:color="auto"/>
              <w:left w:val="single" w:sz="4" w:space="0" w:color="auto"/>
              <w:bottom w:val="nil"/>
              <w:right w:val="nil"/>
            </w:tcBorders>
            <w:tcMar>
              <w:left w:w="0" w:type="dxa"/>
              <w:right w:w="0" w:type="dxa"/>
            </w:tcMar>
            <w:vAlign w:val="center"/>
          </w:tcPr>
          <w:p w14:paraId="7C912D4A" w14:textId="77777777" w:rsidR="00C02F63" w:rsidRPr="008B09DA" w:rsidRDefault="00C02F63" w:rsidP="00FF5645">
            <w:pPr>
              <w:jc w:val="center"/>
              <w:rPr>
                <w:bCs/>
                <w:color w:val="92D050"/>
                <w:sz w:val="28"/>
                <w:szCs w:val="28"/>
              </w:rPr>
            </w:pPr>
            <w:r w:rsidRPr="004452A8">
              <w:rPr>
                <w:bCs/>
                <w:color w:val="FF0000"/>
                <w:sz w:val="28"/>
                <w:szCs w:val="28"/>
              </w:rPr>
              <w:sym w:font="Wingdings 3" w:char="F0C8"/>
            </w:r>
          </w:p>
        </w:tc>
        <w:tc>
          <w:tcPr>
            <w:tcW w:w="1075" w:type="dxa"/>
            <w:tcBorders>
              <w:top w:val="single" w:sz="4" w:space="0" w:color="auto"/>
              <w:left w:val="nil"/>
              <w:bottom w:val="nil"/>
            </w:tcBorders>
            <w:tcMar>
              <w:right w:w="284" w:type="dxa"/>
            </w:tcMar>
            <w:vAlign w:val="center"/>
          </w:tcPr>
          <w:p w14:paraId="68835CAD" w14:textId="77777777" w:rsidR="00C02F63" w:rsidRPr="008B09DA" w:rsidRDefault="00C02F63" w:rsidP="00FF5645">
            <w:pPr>
              <w:jc w:val="right"/>
              <w:rPr>
                <w:bCs/>
                <w:sz w:val="18"/>
              </w:rPr>
            </w:pPr>
            <w:r w:rsidRPr="004452A8">
              <w:rPr>
                <w:bCs/>
                <w:sz w:val="18"/>
              </w:rPr>
              <w:t>-</w:t>
            </w:r>
            <w:r>
              <w:rPr>
                <w:bCs/>
                <w:sz w:val="18"/>
              </w:rPr>
              <w:t>14,2</w:t>
            </w:r>
          </w:p>
        </w:tc>
      </w:tr>
      <w:tr w:rsidR="00C02F63" w14:paraId="1722D96D" w14:textId="77777777" w:rsidTr="00FF5645">
        <w:trPr>
          <w:cantSplit/>
          <w:trHeight w:val="284"/>
        </w:trPr>
        <w:tc>
          <w:tcPr>
            <w:tcW w:w="918" w:type="dxa"/>
            <w:vMerge/>
            <w:tcBorders>
              <w:bottom w:val="nil"/>
            </w:tcBorders>
            <w:vAlign w:val="center"/>
          </w:tcPr>
          <w:p w14:paraId="6BF4AA77" w14:textId="77777777" w:rsidR="00C02F63" w:rsidRDefault="00C02F63" w:rsidP="00FF5645">
            <w:pPr>
              <w:jc w:val="center"/>
              <w:rPr>
                <w:rFonts w:cs="Arial"/>
                <w:sz w:val="18"/>
                <w:szCs w:val="16"/>
              </w:rPr>
            </w:pPr>
          </w:p>
        </w:tc>
        <w:tc>
          <w:tcPr>
            <w:tcW w:w="1776" w:type="dxa"/>
            <w:tcBorders>
              <w:top w:val="nil"/>
              <w:bottom w:val="nil"/>
            </w:tcBorders>
            <w:vAlign w:val="center"/>
          </w:tcPr>
          <w:p w14:paraId="243C7784" w14:textId="77777777" w:rsidR="00C02F63" w:rsidRDefault="00C02F63" w:rsidP="00FF5645">
            <w:pPr>
              <w:rPr>
                <w:bCs/>
                <w:sz w:val="18"/>
              </w:rPr>
            </w:pPr>
            <w:r>
              <w:rPr>
                <w:sz w:val="18"/>
              </w:rPr>
              <w:t>2. čtvrtletí</w:t>
            </w:r>
          </w:p>
        </w:tc>
        <w:tc>
          <w:tcPr>
            <w:tcW w:w="1074" w:type="dxa"/>
            <w:tcBorders>
              <w:top w:val="nil"/>
              <w:bottom w:val="nil"/>
              <w:right w:val="single" w:sz="4" w:space="0" w:color="auto"/>
            </w:tcBorders>
            <w:tcMar>
              <w:right w:w="284" w:type="dxa"/>
            </w:tcMar>
            <w:vAlign w:val="center"/>
          </w:tcPr>
          <w:p w14:paraId="3EC1C62A" w14:textId="77777777" w:rsidR="00C02F63" w:rsidRDefault="00C02F63" w:rsidP="00FF5645">
            <w:pPr>
              <w:jc w:val="right"/>
              <w:rPr>
                <w:rFonts w:cs="Arial"/>
                <w:sz w:val="18"/>
                <w:szCs w:val="18"/>
              </w:rPr>
            </w:pPr>
            <w:r>
              <w:rPr>
                <w:rFonts w:cs="Arial"/>
                <w:sz w:val="18"/>
                <w:szCs w:val="18"/>
              </w:rPr>
              <w:t>1 860</w:t>
            </w:r>
          </w:p>
        </w:tc>
        <w:tc>
          <w:tcPr>
            <w:tcW w:w="1074" w:type="dxa"/>
            <w:tcBorders>
              <w:top w:val="nil"/>
              <w:left w:val="single" w:sz="4" w:space="0" w:color="auto"/>
              <w:bottom w:val="nil"/>
              <w:right w:val="nil"/>
            </w:tcBorders>
            <w:vAlign w:val="center"/>
          </w:tcPr>
          <w:p w14:paraId="2ADC107A" w14:textId="77777777" w:rsidR="00C02F63" w:rsidRPr="008B09DA" w:rsidRDefault="00C02F63" w:rsidP="00FF5645">
            <w:pPr>
              <w:jc w:val="center"/>
              <w:rPr>
                <w:bCs/>
                <w:color w:val="FF0000"/>
                <w:sz w:val="28"/>
                <w:szCs w:val="28"/>
              </w:rPr>
            </w:pPr>
            <w:r w:rsidRPr="004452A8">
              <w:rPr>
                <w:bCs/>
                <w:color w:val="92D050"/>
                <w:sz w:val="28"/>
                <w:szCs w:val="28"/>
              </w:rPr>
              <w:sym w:font="Wingdings 3" w:char="F0C7"/>
            </w:r>
          </w:p>
        </w:tc>
        <w:tc>
          <w:tcPr>
            <w:tcW w:w="1075" w:type="dxa"/>
            <w:tcBorders>
              <w:top w:val="nil"/>
              <w:left w:val="nil"/>
              <w:bottom w:val="nil"/>
              <w:right w:val="single" w:sz="4" w:space="0" w:color="auto"/>
            </w:tcBorders>
            <w:tcMar>
              <w:left w:w="0" w:type="dxa"/>
              <w:right w:w="284" w:type="dxa"/>
            </w:tcMar>
            <w:vAlign w:val="center"/>
          </w:tcPr>
          <w:p w14:paraId="5770DC47" w14:textId="77777777" w:rsidR="00C02F63" w:rsidRPr="008B09DA" w:rsidRDefault="00C02F63" w:rsidP="00FF5645">
            <w:pPr>
              <w:jc w:val="right"/>
              <w:rPr>
                <w:bCs/>
                <w:sz w:val="18"/>
              </w:rPr>
            </w:pPr>
            <w:r>
              <w:rPr>
                <w:bCs/>
                <w:sz w:val="18"/>
              </w:rPr>
              <w:t>+27,1</w:t>
            </w:r>
          </w:p>
        </w:tc>
        <w:tc>
          <w:tcPr>
            <w:tcW w:w="1074" w:type="dxa"/>
            <w:tcBorders>
              <w:top w:val="nil"/>
              <w:left w:val="single" w:sz="4" w:space="0" w:color="auto"/>
              <w:bottom w:val="nil"/>
              <w:right w:val="single" w:sz="4" w:space="0" w:color="auto"/>
            </w:tcBorders>
            <w:tcMar>
              <w:right w:w="227" w:type="dxa"/>
            </w:tcMar>
            <w:vAlign w:val="center"/>
          </w:tcPr>
          <w:p w14:paraId="1FBF8655" w14:textId="77777777" w:rsidR="00C02F63" w:rsidRPr="008B09DA" w:rsidRDefault="00C02F63" w:rsidP="00FF5645">
            <w:pPr>
              <w:jc w:val="right"/>
              <w:rPr>
                <w:rFonts w:cs="Arial"/>
                <w:sz w:val="18"/>
                <w:szCs w:val="18"/>
              </w:rPr>
            </w:pPr>
            <w:r>
              <w:rPr>
                <w:rFonts w:cs="Arial"/>
                <w:sz w:val="18"/>
                <w:szCs w:val="18"/>
              </w:rPr>
              <w:t>52 201</w:t>
            </w:r>
          </w:p>
        </w:tc>
        <w:tc>
          <w:tcPr>
            <w:tcW w:w="1074" w:type="dxa"/>
            <w:tcBorders>
              <w:top w:val="nil"/>
              <w:left w:val="single" w:sz="4" w:space="0" w:color="auto"/>
              <w:bottom w:val="nil"/>
              <w:right w:val="nil"/>
            </w:tcBorders>
            <w:tcMar>
              <w:left w:w="0" w:type="dxa"/>
              <w:right w:w="0" w:type="dxa"/>
            </w:tcMar>
            <w:vAlign w:val="center"/>
          </w:tcPr>
          <w:p w14:paraId="11912BFF" w14:textId="77777777" w:rsidR="00C02F63" w:rsidRPr="008B09DA" w:rsidRDefault="00C02F63" w:rsidP="00FF5645">
            <w:pPr>
              <w:jc w:val="center"/>
              <w:rPr>
                <w:bCs/>
                <w:color w:val="92D050"/>
                <w:sz w:val="28"/>
                <w:szCs w:val="28"/>
              </w:rPr>
            </w:pPr>
            <w:r w:rsidRPr="004452A8">
              <w:rPr>
                <w:bCs/>
                <w:color w:val="92D050"/>
                <w:sz w:val="28"/>
                <w:szCs w:val="28"/>
              </w:rPr>
              <w:sym w:font="Wingdings 3" w:char="F0C7"/>
            </w:r>
          </w:p>
        </w:tc>
        <w:tc>
          <w:tcPr>
            <w:tcW w:w="1075" w:type="dxa"/>
            <w:tcBorders>
              <w:top w:val="nil"/>
              <w:left w:val="nil"/>
              <w:bottom w:val="nil"/>
            </w:tcBorders>
            <w:tcMar>
              <w:right w:w="284" w:type="dxa"/>
            </w:tcMar>
            <w:vAlign w:val="center"/>
          </w:tcPr>
          <w:p w14:paraId="09518332" w14:textId="77777777" w:rsidR="00C02F63" w:rsidRPr="008B09DA" w:rsidRDefault="00C02F63" w:rsidP="00FF5645">
            <w:pPr>
              <w:jc w:val="right"/>
              <w:rPr>
                <w:bCs/>
                <w:sz w:val="18"/>
              </w:rPr>
            </w:pPr>
            <w:r>
              <w:rPr>
                <w:bCs/>
                <w:sz w:val="18"/>
              </w:rPr>
              <w:t>+37,6</w:t>
            </w:r>
          </w:p>
        </w:tc>
      </w:tr>
      <w:tr w:rsidR="00C02F63" w14:paraId="1F9A9740" w14:textId="77777777" w:rsidTr="00FF5645">
        <w:trPr>
          <w:cantSplit/>
          <w:trHeight w:val="284"/>
        </w:trPr>
        <w:tc>
          <w:tcPr>
            <w:tcW w:w="918" w:type="dxa"/>
            <w:vMerge/>
            <w:tcBorders>
              <w:top w:val="nil"/>
              <w:bottom w:val="nil"/>
            </w:tcBorders>
            <w:vAlign w:val="center"/>
          </w:tcPr>
          <w:p w14:paraId="2EFBF048" w14:textId="77777777" w:rsidR="00C02F63" w:rsidRDefault="00C02F63" w:rsidP="00FF5645">
            <w:pPr>
              <w:jc w:val="center"/>
              <w:rPr>
                <w:rFonts w:cs="Arial"/>
                <w:sz w:val="18"/>
                <w:szCs w:val="16"/>
              </w:rPr>
            </w:pPr>
          </w:p>
        </w:tc>
        <w:tc>
          <w:tcPr>
            <w:tcW w:w="1776" w:type="dxa"/>
            <w:tcBorders>
              <w:top w:val="nil"/>
              <w:bottom w:val="nil"/>
            </w:tcBorders>
            <w:vAlign w:val="center"/>
          </w:tcPr>
          <w:p w14:paraId="123DD127" w14:textId="77777777" w:rsidR="00C02F63" w:rsidRDefault="00C02F63" w:rsidP="00FF5645">
            <w:pPr>
              <w:rPr>
                <w:bCs/>
                <w:sz w:val="18"/>
              </w:rPr>
            </w:pPr>
            <w:r>
              <w:rPr>
                <w:sz w:val="18"/>
              </w:rPr>
              <w:t>3. čtvrtletí</w:t>
            </w:r>
          </w:p>
        </w:tc>
        <w:tc>
          <w:tcPr>
            <w:tcW w:w="1074" w:type="dxa"/>
            <w:tcBorders>
              <w:top w:val="nil"/>
              <w:bottom w:val="nil"/>
              <w:right w:val="single" w:sz="4" w:space="0" w:color="auto"/>
            </w:tcBorders>
            <w:tcMar>
              <w:right w:w="284" w:type="dxa"/>
            </w:tcMar>
            <w:vAlign w:val="center"/>
          </w:tcPr>
          <w:p w14:paraId="688D7439" w14:textId="77777777" w:rsidR="00C02F63" w:rsidRDefault="00C02F63" w:rsidP="00FF5645">
            <w:pPr>
              <w:jc w:val="right"/>
              <w:rPr>
                <w:rFonts w:cs="Arial"/>
                <w:sz w:val="18"/>
                <w:szCs w:val="18"/>
              </w:rPr>
            </w:pPr>
            <w:r>
              <w:rPr>
                <w:rFonts w:cs="Arial"/>
                <w:sz w:val="18"/>
                <w:szCs w:val="18"/>
              </w:rPr>
              <w:t>1 915</w:t>
            </w:r>
          </w:p>
        </w:tc>
        <w:tc>
          <w:tcPr>
            <w:tcW w:w="1074" w:type="dxa"/>
            <w:tcBorders>
              <w:top w:val="nil"/>
              <w:left w:val="single" w:sz="4" w:space="0" w:color="auto"/>
              <w:bottom w:val="nil"/>
              <w:right w:val="nil"/>
            </w:tcBorders>
            <w:vAlign w:val="center"/>
          </w:tcPr>
          <w:p w14:paraId="15B08B3F" w14:textId="77777777" w:rsidR="00C02F63" w:rsidRPr="008B09DA" w:rsidRDefault="00C02F63" w:rsidP="00FF5645">
            <w:pPr>
              <w:jc w:val="center"/>
              <w:rPr>
                <w:bCs/>
                <w:color w:val="FF0000"/>
                <w:sz w:val="28"/>
                <w:szCs w:val="28"/>
              </w:rPr>
            </w:pPr>
            <w:r w:rsidRPr="004452A8">
              <w:rPr>
                <w:bCs/>
                <w:color w:val="92D050"/>
                <w:sz w:val="28"/>
                <w:szCs w:val="28"/>
              </w:rPr>
              <w:sym w:font="Wingdings 3" w:char="F0C7"/>
            </w:r>
          </w:p>
        </w:tc>
        <w:tc>
          <w:tcPr>
            <w:tcW w:w="1075" w:type="dxa"/>
            <w:tcBorders>
              <w:top w:val="nil"/>
              <w:left w:val="nil"/>
              <w:bottom w:val="nil"/>
              <w:right w:val="single" w:sz="4" w:space="0" w:color="auto"/>
            </w:tcBorders>
            <w:tcMar>
              <w:left w:w="0" w:type="dxa"/>
              <w:right w:w="284" w:type="dxa"/>
            </w:tcMar>
            <w:vAlign w:val="center"/>
          </w:tcPr>
          <w:p w14:paraId="30DAAFE0" w14:textId="77777777" w:rsidR="00C02F63" w:rsidRDefault="00C02F63" w:rsidP="00FF5645">
            <w:pPr>
              <w:jc w:val="right"/>
              <w:rPr>
                <w:bCs/>
                <w:sz w:val="18"/>
              </w:rPr>
            </w:pPr>
            <w:r>
              <w:rPr>
                <w:bCs/>
                <w:sz w:val="18"/>
              </w:rPr>
              <w:t>+34,6</w:t>
            </w:r>
          </w:p>
        </w:tc>
        <w:tc>
          <w:tcPr>
            <w:tcW w:w="1074" w:type="dxa"/>
            <w:tcBorders>
              <w:top w:val="nil"/>
              <w:left w:val="single" w:sz="4" w:space="0" w:color="auto"/>
              <w:bottom w:val="nil"/>
              <w:right w:val="single" w:sz="4" w:space="0" w:color="auto"/>
            </w:tcBorders>
            <w:tcMar>
              <w:right w:w="227" w:type="dxa"/>
            </w:tcMar>
            <w:vAlign w:val="center"/>
          </w:tcPr>
          <w:p w14:paraId="509A02DC" w14:textId="77777777" w:rsidR="00C02F63" w:rsidRDefault="00C02F63" w:rsidP="00FF5645">
            <w:pPr>
              <w:jc w:val="right"/>
              <w:rPr>
                <w:rFonts w:cs="Arial"/>
                <w:sz w:val="18"/>
                <w:szCs w:val="18"/>
              </w:rPr>
            </w:pPr>
            <w:r>
              <w:rPr>
                <w:rFonts w:cs="Arial"/>
                <w:sz w:val="18"/>
                <w:szCs w:val="18"/>
              </w:rPr>
              <w:t>45 706</w:t>
            </w:r>
          </w:p>
        </w:tc>
        <w:tc>
          <w:tcPr>
            <w:tcW w:w="1074" w:type="dxa"/>
            <w:tcBorders>
              <w:top w:val="nil"/>
              <w:left w:val="single" w:sz="4" w:space="0" w:color="auto"/>
              <w:bottom w:val="nil"/>
              <w:right w:val="nil"/>
            </w:tcBorders>
            <w:tcMar>
              <w:left w:w="0" w:type="dxa"/>
              <w:right w:w="0" w:type="dxa"/>
            </w:tcMar>
            <w:vAlign w:val="center"/>
          </w:tcPr>
          <w:p w14:paraId="3F6C8DA2" w14:textId="77777777" w:rsidR="00C02F63" w:rsidRPr="009033CC" w:rsidRDefault="00C02F63" w:rsidP="00FF5645">
            <w:pPr>
              <w:jc w:val="center"/>
              <w:rPr>
                <w:bCs/>
                <w:color w:val="FF0000"/>
                <w:sz w:val="28"/>
                <w:szCs w:val="28"/>
              </w:rPr>
            </w:pPr>
            <w:r w:rsidRPr="004452A8">
              <w:rPr>
                <w:bCs/>
                <w:color w:val="FF0000"/>
                <w:sz w:val="28"/>
                <w:szCs w:val="28"/>
              </w:rPr>
              <w:sym w:font="Wingdings 3" w:char="F0C8"/>
            </w:r>
          </w:p>
        </w:tc>
        <w:tc>
          <w:tcPr>
            <w:tcW w:w="1075" w:type="dxa"/>
            <w:tcBorders>
              <w:top w:val="nil"/>
              <w:left w:val="nil"/>
              <w:bottom w:val="nil"/>
            </w:tcBorders>
            <w:tcMar>
              <w:right w:w="284" w:type="dxa"/>
            </w:tcMar>
            <w:vAlign w:val="center"/>
          </w:tcPr>
          <w:p w14:paraId="42826647" w14:textId="77777777" w:rsidR="00C02F63" w:rsidRDefault="00C02F63" w:rsidP="00FF5645">
            <w:pPr>
              <w:jc w:val="right"/>
              <w:rPr>
                <w:bCs/>
                <w:sz w:val="18"/>
              </w:rPr>
            </w:pPr>
            <w:r>
              <w:rPr>
                <w:bCs/>
                <w:sz w:val="18"/>
              </w:rPr>
              <w:t>-23,8</w:t>
            </w:r>
          </w:p>
        </w:tc>
      </w:tr>
      <w:tr w:rsidR="00C02F63" w14:paraId="610A6056" w14:textId="77777777" w:rsidTr="00FF5645">
        <w:trPr>
          <w:cantSplit/>
          <w:trHeight w:val="284"/>
        </w:trPr>
        <w:tc>
          <w:tcPr>
            <w:tcW w:w="918" w:type="dxa"/>
            <w:vMerge/>
            <w:tcBorders>
              <w:top w:val="nil"/>
            </w:tcBorders>
            <w:vAlign w:val="center"/>
          </w:tcPr>
          <w:p w14:paraId="08A9237B" w14:textId="77777777" w:rsidR="00C02F63" w:rsidRDefault="00C02F63" w:rsidP="00FF5645">
            <w:pPr>
              <w:jc w:val="center"/>
              <w:rPr>
                <w:rFonts w:cs="Arial"/>
                <w:sz w:val="18"/>
                <w:szCs w:val="16"/>
              </w:rPr>
            </w:pPr>
          </w:p>
        </w:tc>
        <w:tc>
          <w:tcPr>
            <w:tcW w:w="1776" w:type="dxa"/>
            <w:tcBorders>
              <w:top w:val="nil"/>
              <w:bottom w:val="single" w:sz="4" w:space="0" w:color="auto"/>
            </w:tcBorders>
            <w:vAlign w:val="center"/>
          </w:tcPr>
          <w:p w14:paraId="5BC2E61F" w14:textId="77777777" w:rsidR="00C02F63" w:rsidRDefault="00C02F63" w:rsidP="00FF5645">
            <w:pPr>
              <w:rPr>
                <w:bCs/>
                <w:sz w:val="18"/>
              </w:rPr>
            </w:pPr>
            <w:r>
              <w:rPr>
                <w:sz w:val="18"/>
              </w:rPr>
              <w:t>4. čtvrtletí</w:t>
            </w:r>
          </w:p>
        </w:tc>
        <w:tc>
          <w:tcPr>
            <w:tcW w:w="1074" w:type="dxa"/>
            <w:tcBorders>
              <w:top w:val="nil"/>
              <w:bottom w:val="single" w:sz="4" w:space="0" w:color="auto"/>
              <w:right w:val="single" w:sz="4" w:space="0" w:color="auto"/>
            </w:tcBorders>
            <w:tcMar>
              <w:right w:w="284" w:type="dxa"/>
            </w:tcMar>
            <w:vAlign w:val="center"/>
          </w:tcPr>
          <w:p w14:paraId="5F031531" w14:textId="77777777" w:rsidR="00C02F63" w:rsidRDefault="00C02F63" w:rsidP="00FF5645">
            <w:pPr>
              <w:jc w:val="right"/>
              <w:rPr>
                <w:rFonts w:cs="Arial"/>
                <w:sz w:val="18"/>
                <w:szCs w:val="18"/>
              </w:rPr>
            </w:pPr>
            <w:r>
              <w:rPr>
                <w:rFonts w:cs="Arial"/>
                <w:sz w:val="18"/>
                <w:szCs w:val="18"/>
              </w:rPr>
              <w:t>1 337</w:t>
            </w:r>
          </w:p>
        </w:tc>
        <w:tc>
          <w:tcPr>
            <w:tcW w:w="1074" w:type="dxa"/>
            <w:tcBorders>
              <w:top w:val="nil"/>
              <w:left w:val="single" w:sz="4" w:space="0" w:color="auto"/>
              <w:bottom w:val="single" w:sz="4" w:space="0" w:color="auto"/>
              <w:right w:val="nil"/>
            </w:tcBorders>
            <w:vAlign w:val="center"/>
          </w:tcPr>
          <w:p w14:paraId="1450E227" w14:textId="77777777" w:rsidR="00C02F63" w:rsidRPr="009033CC" w:rsidRDefault="00C02F63" w:rsidP="00FF5645">
            <w:pPr>
              <w:jc w:val="center"/>
              <w:rPr>
                <w:bCs/>
                <w:color w:val="FF0000"/>
                <w:sz w:val="28"/>
                <w:szCs w:val="28"/>
              </w:rPr>
            </w:pPr>
            <w:r w:rsidRPr="004452A8">
              <w:rPr>
                <w:bCs/>
                <w:color w:val="92D050"/>
                <w:sz w:val="28"/>
                <w:szCs w:val="28"/>
              </w:rPr>
              <w:sym w:font="Wingdings 3" w:char="F0C7"/>
            </w:r>
          </w:p>
        </w:tc>
        <w:tc>
          <w:tcPr>
            <w:tcW w:w="1075" w:type="dxa"/>
            <w:tcBorders>
              <w:top w:val="nil"/>
              <w:left w:val="nil"/>
              <w:bottom w:val="single" w:sz="4" w:space="0" w:color="auto"/>
              <w:right w:val="single" w:sz="4" w:space="0" w:color="auto"/>
            </w:tcBorders>
            <w:tcMar>
              <w:left w:w="0" w:type="dxa"/>
              <w:right w:w="284" w:type="dxa"/>
            </w:tcMar>
            <w:vAlign w:val="center"/>
          </w:tcPr>
          <w:p w14:paraId="7E00B47A" w14:textId="77777777" w:rsidR="00C02F63" w:rsidRDefault="00C02F63" w:rsidP="00FF5645">
            <w:pPr>
              <w:jc w:val="right"/>
              <w:rPr>
                <w:bCs/>
                <w:sz w:val="18"/>
              </w:rPr>
            </w:pPr>
            <w:r>
              <w:rPr>
                <w:bCs/>
                <w:sz w:val="18"/>
              </w:rPr>
              <w:t>+27,8</w:t>
            </w:r>
          </w:p>
        </w:tc>
        <w:tc>
          <w:tcPr>
            <w:tcW w:w="1074" w:type="dxa"/>
            <w:tcBorders>
              <w:top w:val="nil"/>
              <w:left w:val="single" w:sz="4" w:space="0" w:color="auto"/>
              <w:bottom w:val="single" w:sz="4" w:space="0" w:color="auto"/>
              <w:right w:val="single" w:sz="4" w:space="0" w:color="auto"/>
            </w:tcBorders>
            <w:tcMar>
              <w:right w:w="227" w:type="dxa"/>
            </w:tcMar>
            <w:vAlign w:val="center"/>
          </w:tcPr>
          <w:p w14:paraId="7C18A301" w14:textId="77777777" w:rsidR="00C02F63" w:rsidRDefault="00C02F63" w:rsidP="00FF5645">
            <w:pPr>
              <w:jc w:val="right"/>
              <w:rPr>
                <w:rFonts w:cs="Arial"/>
                <w:sz w:val="18"/>
                <w:szCs w:val="18"/>
              </w:rPr>
            </w:pPr>
            <w:r>
              <w:rPr>
                <w:rFonts w:cs="Arial"/>
                <w:sz w:val="18"/>
                <w:szCs w:val="18"/>
              </w:rPr>
              <w:t>34 862</w:t>
            </w:r>
          </w:p>
        </w:tc>
        <w:tc>
          <w:tcPr>
            <w:tcW w:w="1074" w:type="dxa"/>
            <w:tcBorders>
              <w:top w:val="nil"/>
              <w:left w:val="single" w:sz="4" w:space="0" w:color="auto"/>
              <w:bottom w:val="single" w:sz="4" w:space="0" w:color="auto"/>
              <w:right w:val="nil"/>
            </w:tcBorders>
            <w:tcMar>
              <w:left w:w="0" w:type="dxa"/>
              <w:right w:w="0" w:type="dxa"/>
            </w:tcMar>
            <w:vAlign w:val="center"/>
          </w:tcPr>
          <w:p w14:paraId="583252C6" w14:textId="77777777" w:rsidR="00C02F63" w:rsidRPr="008B09DA" w:rsidRDefault="00C02F63" w:rsidP="00FF5645">
            <w:pPr>
              <w:jc w:val="center"/>
              <w:rPr>
                <w:bCs/>
                <w:color w:val="92D050"/>
                <w:sz w:val="28"/>
                <w:szCs w:val="28"/>
              </w:rPr>
            </w:pPr>
            <w:r w:rsidRPr="004452A8">
              <w:rPr>
                <w:bCs/>
                <w:color w:val="FF0000"/>
                <w:sz w:val="28"/>
                <w:szCs w:val="28"/>
              </w:rPr>
              <w:sym w:font="Wingdings 3" w:char="F0C8"/>
            </w:r>
          </w:p>
        </w:tc>
        <w:tc>
          <w:tcPr>
            <w:tcW w:w="1075" w:type="dxa"/>
            <w:tcBorders>
              <w:top w:val="nil"/>
              <w:left w:val="nil"/>
              <w:bottom w:val="single" w:sz="4" w:space="0" w:color="auto"/>
            </w:tcBorders>
            <w:tcMar>
              <w:right w:w="284" w:type="dxa"/>
            </w:tcMar>
            <w:vAlign w:val="center"/>
          </w:tcPr>
          <w:p w14:paraId="1D9E680C" w14:textId="77777777" w:rsidR="00C02F63" w:rsidRDefault="00C02F63" w:rsidP="00FF5645">
            <w:pPr>
              <w:jc w:val="right"/>
              <w:rPr>
                <w:bCs/>
                <w:sz w:val="18"/>
              </w:rPr>
            </w:pPr>
            <w:r>
              <w:rPr>
                <w:bCs/>
                <w:sz w:val="18"/>
              </w:rPr>
              <w:t>-4,8</w:t>
            </w:r>
          </w:p>
        </w:tc>
      </w:tr>
      <w:tr w:rsidR="00C02F63" w14:paraId="153EA7A1" w14:textId="77777777" w:rsidTr="00FF5645">
        <w:trPr>
          <w:cantSplit/>
          <w:trHeight w:val="284"/>
        </w:trPr>
        <w:tc>
          <w:tcPr>
            <w:tcW w:w="918" w:type="dxa"/>
            <w:vMerge/>
            <w:tcBorders>
              <w:bottom w:val="single" w:sz="4" w:space="0" w:color="auto"/>
            </w:tcBorders>
            <w:vAlign w:val="center"/>
          </w:tcPr>
          <w:p w14:paraId="661EA41F" w14:textId="77777777" w:rsidR="00C02F63" w:rsidRDefault="00C02F63" w:rsidP="00FF5645">
            <w:pPr>
              <w:jc w:val="center"/>
              <w:rPr>
                <w:rFonts w:cs="Arial"/>
                <w:sz w:val="18"/>
                <w:szCs w:val="16"/>
              </w:rPr>
            </w:pPr>
          </w:p>
        </w:tc>
        <w:tc>
          <w:tcPr>
            <w:tcW w:w="1776" w:type="dxa"/>
            <w:tcBorders>
              <w:top w:val="single" w:sz="4" w:space="0" w:color="auto"/>
              <w:bottom w:val="single" w:sz="4" w:space="0" w:color="auto"/>
            </w:tcBorders>
            <w:vAlign w:val="center"/>
          </w:tcPr>
          <w:p w14:paraId="408B3425" w14:textId="77777777" w:rsidR="00C02F63" w:rsidRPr="00253DA5" w:rsidRDefault="00C02F63" w:rsidP="00FF5645">
            <w:pPr>
              <w:rPr>
                <w:b/>
                <w:bCs/>
                <w:sz w:val="18"/>
                <w:szCs w:val="18"/>
              </w:rPr>
            </w:pPr>
            <w:r>
              <w:rPr>
                <w:b/>
                <w:sz w:val="18"/>
                <w:szCs w:val="18"/>
              </w:rPr>
              <w:t xml:space="preserve">Rok </w:t>
            </w:r>
          </w:p>
        </w:tc>
        <w:tc>
          <w:tcPr>
            <w:tcW w:w="1074" w:type="dxa"/>
            <w:tcBorders>
              <w:top w:val="single" w:sz="4" w:space="0" w:color="auto"/>
              <w:bottom w:val="single" w:sz="4" w:space="0" w:color="auto"/>
              <w:right w:val="single" w:sz="4" w:space="0" w:color="auto"/>
            </w:tcBorders>
            <w:tcMar>
              <w:right w:w="284" w:type="dxa"/>
            </w:tcMar>
            <w:vAlign w:val="center"/>
          </w:tcPr>
          <w:p w14:paraId="375C4516" w14:textId="77777777" w:rsidR="00C02F63" w:rsidRDefault="00C02F63" w:rsidP="00FF5645">
            <w:pPr>
              <w:jc w:val="right"/>
              <w:rPr>
                <w:rFonts w:cs="Arial"/>
                <w:b/>
                <w:sz w:val="18"/>
                <w:szCs w:val="18"/>
              </w:rPr>
            </w:pPr>
            <w:r>
              <w:rPr>
                <w:rFonts w:cs="Arial"/>
                <w:b/>
                <w:sz w:val="18"/>
                <w:szCs w:val="18"/>
              </w:rPr>
              <w:t>6 243</w:t>
            </w:r>
          </w:p>
        </w:tc>
        <w:tc>
          <w:tcPr>
            <w:tcW w:w="1074" w:type="dxa"/>
            <w:tcBorders>
              <w:top w:val="single" w:sz="4" w:space="0" w:color="auto"/>
              <w:left w:val="single" w:sz="4" w:space="0" w:color="auto"/>
              <w:bottom w:val="single" w:sz="4" w:space="0" w:color="auto"/>
              <w:right w:val="nil"/>
            </w:tcBorders>
            <w:vAlign w:val="center"/>
          </w:tcPr>
          <w:p w14:paraId="69D32811" w14:textId="77777777" w:rsidR="00C02F63" w:rsidRPr="00E02617" w:rsidRDefault="00C02F63" w:rsidP="00FF5645">
            <w:pPr>
              <w:jc w:val="center"/>
              <w:rPr>
                <w:b/>
                <w:bCs/>
                <w:color w:val="92D050"/>
                <w:sz w:val="28"/>
                <w:szCs w:val="28"/>
              </w:rPr>
            </w:pPr>
            <w:r w:rsidRPr="004452A8">
              <w:rPr>
                <w:bCs/>
                <w:color w:val="92D050"/>
                <w:sz w:val="28"/>
                <w:szCs w:val="28"/>
              </w:rPr>
              <w:sym w:font="Wingdings 3" w:char="F0C7"/>
            </w:r>
          </w:p>
        </w:tc>
        <w:tc>
          <w:tcPr>
            <w:tcW w:w="1075" w:type="dxa"/>
            <w:tcBorders>
              <w:top w:val="single" w:sz="4" w:space="0" w:color="auto"/>
              <w:left w:val="nil"/>
              <w:bottom w:val="single" w:sz="4" w:space="0" w:color="auto"/>
              <w:right w:val="single" w:sz="4" w:space="0" w:color="auto"/>
            </w:tcBorders>
            <w:tcMar>
              <w:left w:w="0" w:type="dxa"/>
              <w:right w:w="284" w:type="dxa"/>
            </w:tcMar>
            <w:vAlign w:val="center"/>
          </w:tcPr>
          <w:p w14:paraId="64B51487" w14:textId="77777777" w:rsidR="00C02F63" w:rsidRDefault="00C02F63" w:rsidP="00FF5645">
            <w:pPr>
              <w:jc w:val="right"/>
              <w:rPr>
                <w:b/>
                <w:bCs/>
                <w:sz w:val="18"/>
              </w:rPr>
            </w:pPr>
            <w:r>
              <w:rPr>
                <w:b/>
                <w:bCs/>
                <w:sz w:val="18"/>
              </w:rPr>
              <w:t>+26,4</w:t>
            </w:r>
          </w:p>
        </w:tc>
        <w:tc>
          <w:tcPr>
            <w:tcW w:w="1074" w:type="dxa"/>
            <w:tcBorders>
              <w:top w:val="single" w:sz="4" w:space="0" w:color="auto"/>
              <w:left w:val="single" w:sz="4" w:space="0" w:color="auto"/>
              <w:bottom w:val="single" w:sz="4" w:space="0" w:color="auto"/>
              <w:right w:val="single" w:sz="4" w:space="0" w:color="auto"/>
            </w:tcBorders>
            <w:tcMar>
              <w:right w:w="227" w:type="dxa"/>
            </w:tcMar>
            <w:vAlign w:val="center"/>
          </w:tcPr>
          <w:p w14:paraId="11E15EA8" w14:textId="77777777" w:rsidR="00C02F63" w:rsidRDefault="00C02F63" w:rsidP="00FF5645">
            <w:pPr>
              <w:jc w:val="right"/>
              <w:rPr>
                <w:rFonts w:cs="Arial"/>
                <w:b/>
                <w:sz w:val="18"/>
                <w:szCs w:val="18"/>
              </w:rPr>
            </w:pPr>
            <w:r>
              <w:rPr>
                <w:rFonts w:cs="Arial"/>
                <w:b/>
                <w:sz w:val="18"/>
                <w:szCs w:val="18"/>
              </w:rPr>
              <w:t>171 884</w:t>
            </w:r>
          </w:p>
        </w:tc>
        <w:tc>
          <w:tcPr>
            <w:tcW w:w="1074" w:type="dxa"/>
            <w:tcBorders>
              <w:top w:val="single" w:sz="4" w:space="0" w:color="auto"/>
              <w:left w:val="single" w:sz="4" w:space="0" w:color="auto"/>
              <w:bottom w:val="single" w:sz="4" w:space="0" w:color="auto"/>
              <w:right w:val="nil"/>
            </w:tcBorders>
            <w:tcMar>
              <w:left w:w="0" w:type="dxa"/>
              <w:right w:w="0" w:type="dxa"/>
            </w:tcMar>
            <w:vAlign w:val="center"/>
          </w:tcPr>
          <w:p w14:paraId="0DF8FDD2" w14:textId="77777777" w:rsidR="00C02F63" w:rsidRPr="00E02617" w:rsidRDefault="00C02F63" w:rsidP="00FF5645">
            <w:pPr>
              <w:jc w:val="center"/>
              <w:rPr>
                <w:b/>
                <w:bCs/>
                <w:color w:val="92D050"/>
                <w:sz w:val="28"/>
                <w:szCs w:val="28"/>
              </w:rPr>
            </w:pPr>
            <w:r w:rsidRPr="004452A8">
              <w:rPr>
                <w:bCs/>
                <w:color w:val="FF0000"/>
                <w:sz w:val="28"/>
                <w:szCs w:val="28"/>
              </w:rPr>
              <w:sym w:font="Wingdings 3" w:char="F0C8"/>
            </w:r>
          </w:p>
        </w:tc>
        <w:tc>
          <w:tcPr>
            <w:tcW w:w="1075" w:type="dxa"/>
            <w:tcBorders>
              <w:top w:val="single" w:sz="4" w:space="0" w:color="auto"/>
              <w:left w:val="nil"/>
              <w:bottom w:val="single" w:sz="4" w:space="0" w:color="auto"/>
            </w:tcBorders>
            <w:tcMar>
              <w:right w:w="284" w:type="dxa"/>
            </w:tcMar>
            <w:vAlign w:val="center"/>
          </w:tcPr>
          <w:p w14:paraId="242E09E7" w14:textId="77777777" w:rsidR="00C02F63" w:rsidRDefault="00C02F63" w:rsidP="00FF5645">
            <w:pPr>
              <w:jc w:val="right"/>
              <w:rPr>
                <w:b/>
                <w:bCs/>
                <w:sz w:val="18"/>
              </w:rPr>
            </w:pPr>
            <w:r>
              <w:rPr>
                <w:b/>
                <w:bCs/>
                <w:sz w:val="18"/>
              </w:rPr>
              <w:t>-4,6</w:t>
            </w:r>
          </w:p>
        </w:tc>
      </w:tr>
      <w:tr w:rsidR="00C02F63" w14:paraId="3E56F726" w14:textId="77777777" w:rsidTr="00FF5645">
        <w:trPr>
          <w:cantSplit/>
          <w:trHeight w:val="284"/>
        </w:trPr>
        <w:tc>
          <w:tcPr>
            <w:tcW w:w="918" w:type="dxa"/>
            <w:vMerge w:val="restart"/>
            <w:vAlign w:val="center"/>
          </w:tcPr>
          <w:p w14:paraId="1FB1949F" w14:textId="77777777" w:rsidR="00C02F63" w:rsidRDefault="00C02F63" w:rsidP="00FF5645">
            <w:pPr>
              <w:jc w:val="center"/>
              <w:rPr>
                <w:rFonts w:cs="Arial"/>
                <w:sz w:val="18"/>
                <w:szCs w:val="16"/>
              </w:rPr>
            </w:pPr>
            <w:r>
              <w:rPr>
                <w:rFonts w:cs="Arial"/>
                <w:sz w:val="18"/>
                <w:szCs w:val="16"/>
              </w:rPr>
              <w:t>2021</w:t>
            </w:r>
          </w:p>
        </w:tc>
        <w:tc>
          <w:tcPr>
            <w:tcW w:w="1776" w:type="dxa"/>
            <w:tcBorders>
              <w:top w:val="single" w:sz="4" w:space="0" w:color="auto"/>
              <w:bottom w:val="nil"/>
            </w:tcBorders>
            <w:vAlign w:val="center"/>
          </w:tcPr>
          <w:p w14:paraId="7A9F5606" w14:textId="77777777" w:rsidR="00C02F63" w:rsidRPr="00D164B4" w:rsidRDefault="00C02F63" w:rsidP="00FF5645">
            <w:pPr>
              <w:rPr>
                <w:sz w:val="18"/>
                <w:szCs w:val="18"/>
              </w:rPr>
            </w:pPr>
            <w:r w:rsidRPr="00D164B4">
              <w:rPr>
                <w:sz w:val="18"/>
                <w:szCs w:val="18"/>
              </w:rPr>
              <w:t>1. čtvrtletí</w:t>
            </w:r>
          </w:p>
        </w:tc>
        <w:tc>
          <w:tcPr>
            <w:tcW w:w="1074" w:type="dxa"/>
            <w:tcBorders>
              <w:top w:val="single" w:sz="4" w:space="0" w:color="auto"/>
              <w:bottom w:val="nil"/>
              <w:right w:val="single" w:sz="4" w:space="0" w:color="auto"/>
            </w:tcBorders>
            <w:tcMar>
              <w:right w:w="284" w:type="dxa"/>
            </w:tcMar>
            <w:vAlign w:val="center"/>
          </w:tcPr>
          <w:p w14:paraId="4DB42235" w14:textId="77777777" w:rsidR="00C02F63" w:rsidRPr="004452A8" w:rsidRDefault="00C02F63" w:rsidP="00FF5645">
            <w:pPr>
              <w:jc w:val="right"/>
              <w:rPr>
                <w:rFonts w:cs="Arial"/>
                <w:sz w:val="18"/>
                <w:szCs w:val="18"/>
              </w:rPr>
            </w:pPr>
            <w:r w:rsidRPr="004452A8">
              <w:rPr>
                <w:rFonts w:cs="Arial"/>
                <w:sz w:val="18"/>
                <w:szCs w:val="18"/>
              </w:rPr>
              <w:t>1 </w:t>
            </w:r>
            <w:r>
              <w:rPr>
                <w:rFonts w:cs="Arial"/>
                <w:sz w:val="18"/>
                <w:szCs w:val="18"/>
              </w:rPr>
              <w:t>268</w:t>
            </w:r>
          </w:p>
        </w:tc>
        <w:tc>
          <w:tcPr>
            <w:tcW w:w="1074" w:type="dxa"/>
            <w:tcBorders>
              <w:top w:val="single" w:sz="4" w:space="0" w:color="auto"/>
              <w:left w:val="single" w:sz="4" w:space="0" w:color="auto"/>
              <w:bottom w:val="nil"/>
              <w:right w:val="nil"/>
            </w:tcBorders>
            <w:vAlign w:val="center"/>
          </w:tcPr>
          <w:p w14:paraId="1291392D" w14:textId="77777777" w:rsidR="00C02F63" w:rsidRPr="004452A8" w:rsidRDefault="00C02F63" w:rsidP="00FF5645">
            <w:pPr>
              <w:jc w:val="center"/>
              <w:rPr>
                <w:bCs/>
                <w:color w:val="FF0000"/>
                <w:sz w:val="28"/>
                <w:szCs w:val="28"/>
              </w:rPr>
            </w:pPr>
            <w:r w:rsidRPr="004452A8">
              <w:rPr>
                <w:bCs/>
                <w:color w:val="92D050"/>
                <w:sz w:val="28"/>
                <w:szCs w:val="28"/>
              </w:rPr>
              <w:sym w:font="Wingdings 3" w:char="F0C7"/>
            </w:r>
          </w:p>
        </w:tc>
        <w:tc>
          <w:tcPr>
            <w:tcW w:w="1075" w:type="dxa"/>
            <w:tcBorders>
              <w:top w:val="single" w:sz="4" w:space="0" w:color="auto"/>
              <w:left w:val="nil"/>
              <w:bottom w:val="nil"/>
              <w:right w:val="single" w:sz="4" w:space="0" w:color="auto"/>
            </w:tcBorders>
            <w:tcMar>
              <w:left w:w="0" w:type="dxa"/>
              <w:right w:w="284" w:type="dxa"/>
            </w:tcMar>
            <w:vAlign w:val="center"/>
          </w:tcPr>
          <w:p w14:paraId="684B38BB" w14:textId="77777777" w:rsidR="00C02F63" w:rsidRPr="004452A8" w:rsidRDefault="00C02F63" w:rsidP="00FF5645">
            <w:pPr>
              <w:jc w:val="right"/>
              <w:rPr>
                <w:bCs/>
                <w:sz w:val="18"/>
              </w:rPr>
            </w:pPr>
            <w:r w:rsidRPr="004452A8">
              <w:rPr>
                <w:bCs/>
                <w:sz w:val="18"/>
              </w:rPr>
              <w:t>+1</w:t>
            </w:r>
            <w:r>
              <w:rPr>
                <w:bCs/>
                <w:sz w:val="18"/>
              </w:rPr>
              <w:t>2,1</w:t>
            </w:r>
          </w:p>
        </w:tc>
        <w:tc>
          <w:tcPr>
            <w:tcW w:w="1074" w:type="dxa"/>
            <w:tcBorders>
              <w:top w:val="single" w:sz="4" w:space="0" w:color="auto"/>
              <w:left w:val="single" w:sz="4" w:space="0" w:color="auto"/>
              <w:bottom w:val="nil"/>
              <w:right w:val="single" w:sz="4" w:space="0" w:color="auto"/>
            </w:tcBorders>
            <w:tcMar>
              <w:right w:w="227" w:type="dxa"/>
            </w:tcMar>
            <w:vAlign w:val="center"/>
          </w:tcPr>
          <w:p w14:paraId="28CC3F6B" w14:textId="77777777" w:rsidR="00C02F63" w:rsidRPr="004452A8" w:rsidRDefault="00C02F63" w:rsidP="00FF5645">
            <w:pPr>
              <w:jc w:val="right"/>
              <w:rPr>
                <w:rFonts w:cs="Arial"/>
                <w:sz w:val="18"/>
                <w:szCs w:val="18"/>
              </w:rPr>
            </w:pPr>
            <w:r>
              <w:rPr>
                <w:rFonts w:cs="Arial"/>
                <w:sz w:val="18"/>
                <w:szCs w:val="18"/>
              </w:rPr>
              <w:t>66 970</w:t>
            </w:r>
          </w:p>
        </w:tc>
        <w:tc>
          <w:tcPr>
            <w:tcW w:w="1074" w:type="dxa"/>
            <w:tcBorders>
              <w:top w:val="single" w:sz="4" w:space="0" w:color="auto"/>
              <w:left w:val="single" w:sz="4" w:space="0" w:color="auto"/>
              <w:bottom w:val="nil"/>
              <w:right w:val="nil"/>
            </w:tcBorders>
            <w:tcMar>
              <w:left w:w="0" w:type="dxa"/>
              <w:right w:w="0" w:type="dxa"/>
            </w:tcMar>
            <w:vAlign w:val="center"/>
          </w:tcPr>
          <w:p w14:paraId="3EA9AB69" w14:textId="77777777" w:rsidR="00C02F63" w:rsidRPr="004452A8" w:rsidRDefault="00C02F63" w:rsidP="00FF5645">
            <w:pPr>
              <w:jc w:val="center"/>
              <w:rPr>
                <w:bCs/>
                <w:color w:val="92D050"/>
                <w:sz w:val="28"/>
                <w:szCs w:val="28"/>
              </w:rPr>
            </w:pPr>
            <w:r w:rsidRPr="004452A8">
              <w:rPr>
                <w:bCs/>
                <w:color w:val="92D050"/>
                <w:sz w:val="28"/>
                <w:szCs w:val="28"/>
              </w:rPr>
              <w:sym w:font="Wingdings 3" w:char="F0C7"/>
            </w:r>
          </w:p>
        </w:tc>
        <w:tc>
          <w:tcPr>
            <w:tcW w:w="1075" w:type="dxa"/>
            <w:tcBorders>
              <w:top w:val="single" w:sz="4" w:space="0" w:color="auto"/>
              <w:left w:val="nil"/>
              <w:bottom w:val="nil"/>
            </w:tcBorders>
            <w:tcMar>
              <w:right w:w="284" w:type="dxa"/>
            </w:tcMar>
            <w:vAlign w:val="center"/>
          </w:tcPr>
          <w:p w14:paraId="0E21B630" w14:textId="77777777" w:rsidR="00C02F63" w:rsidRPr="004452A8" w:rsidRDefault="00C02F63" w:rsidP="00FF5645">
            <w:pPr>
              <w:jc w:val="right"/>
              <w:rPr>
                <w:bCs/>
                <w:sz w:val="18"/>
              </w:rPr>
            </w:pPr>
            <w:r>
              <w:rPr>
                <w:bCs/>
                <w:sz w:val="18"/>
              </w:rPr>
              <w:t>+71,2</w:t>
            </w:r>
          </w:p>
        </w:tc>
      </w:tr>
      <w:tr w:rsidR="00C02F63" w14:paraId="341A2A2A" w14:textId="77777777" w:rsidTr="00FF5645">
        <w:trPr>
          <w:cantSplit/>
          <w:trHeight w:val="284"/>
        </w:trPr>
        <w:tc>
          <w:tcPr>
            <w:tcW w:w="918" w:type="dxa"/>
            <w:vMerge/>
            <w:vAlign w:val="center"/>
          </w:tcPr>
          <w:p w14:paraId="295450FC" w14:textId="77777777" w:rsidR="00C02F63" w:rsidRDefault="00C02F63" w:rsidP="00FF5645">
            <w:pPr>
              <w:jc w:val="center"/>
              <w:rPr>
                <w:rFonts w:cs="Arial"/>
                <w:sz w:val="18"/>
                <w:szCs w:val="16"/>
              </w:rPr>
            </w:pPr>
          </w:p>
        </w:tc>
        <w:tc>
          <w:tcPr>
            <w:tcW w:w="1776" w:type="dxa"/>
            <w:tcBorders>
              <w:top w:val="nil"/>
              <w:bottom w:val="nil"/>
            </w:tcBorders>
            <w:vAlign w:val="center"/>
          </w:tcPr>
          <w:p w14:paraId="22B3A7C5" w14:textId="77777777" w:rsidR="00C02F63" w:rsidRPr="00D164B4" w:rsidRDefault="00C02F63" w:rsidP="00FF5645">
            <w:pPr>
              <w:rPr>
                <w:sz w:val="18"/>
                <w:szCs w:val="18"/>
              </w:rPr>
            </w:pPr>
            <w:r>
              <w:rPr>
                <w:sz w:val="18"/>
              </w:rPr>
              <w:t>2. čtvrtletí</w:t>
            </w:r>
          </w:p>
        </w:tc>
        <w:tc>
          <w:tcPr>
            <w:tcW w:w="1074" w:type="dxa"/>
            <w:tcBorders>
              <w:top w:val="nil"/>
              <w:bottom w:val="nil"/>
              <w:right w:val="single" w:sz="4" w:space="0" w:color="auto"/>
            </w:tcBorders>
            <w:tcMar>
              <w:right w:w="284" w:type="dxa"/>
            </w:tcMar>
            <w:vAlign w:val="center"/>
          </w:tcPr>
          <w:p w14:paraId="6137EA56" w14:textId="77777777" w:rsidR="00C02F63" w:rsidRPr="004452A8" w:rsidRDefault="00C02F63" w:rsidP="00FF5645">
            <w:pPr>
              <w:jc w:val="right"/>
              <w:rPr>
                <w:rFonts w:cs="Arial"/>
                <w:sz w:val="18"/>
                <w:szCs w:val="18"/>
              </w:rPr>
            </w:pPr>
            <w:r>
              <w:rPr>
                <w:rFonts w:cs="Arial"/>
                <w:sz w:val="18"/>
                <w:szCs w:val="18"/>
              </w:rPr>
              <w:t>2 138</w:t>
            </w:r>
          </w:p>
        </w:tc>
        <w:tc>
          <w:tcPr>
            <w:tcW w:w="1074" w:type="dxa"/>
            <w:tcBorders>
              <w:top w:val="nil"/>
              <w:left w:val="single" w:sz="4" w:space="0" w:color="auto"/>
              <w:bottom w:val="nil"/>
              <w:right w:val="nil"/>
            </w:tcBorders>
          </w:tcPr>
          <w:p w14:paraId="3925C0CE" w14:textId="77777777" w:rsidR="00C02F63" w:rsidRPr="004452A8" w:rsidRDefault="00C02F63" w:rsidP="00FF5645">
            <w:pPr>
              <w:jc w:val="center"/>
              <w:rPr>
                <w:bCs/>
                <w:color w:val="92D050"/>
                <w:sz w:val="28"/>
                <w:szCs w:val="28"/>
              </w:rPr>
            </w:pPr>
            <w:r w:rsidRPr="008909F8">
              <w:rPr>
                <w:bCs/>
                <w:color w:val="92D050"/>
                <w:sz w:val="28"/>
                <w:szCs w:val="28"/>
              </w:rPr>
              <w:sym w:font="Wingdings 3" w:char="F0C7"/>
            </w:r>
          </w:p>
        </w:tc>
        <w:tc>
          <w:tcPr>
            <w:tcW w:w="1075" w:type="dxa"/>
            <w:tcBorders>
              <w:top w:val="nil"/>
              <w:left w:val="nil"/>
              <w:bottom w:val="nil"/>
              <w:right w:val="single" w:sz="4" w:space="0" w:color="auto"/>
            </w:tcBorders>
            <w:tcMar>
              <w:left w:w="0" w:type="dxa"/>
              <w:right w:w="284" w:type="dxa"/>
            </w:tcMar>
            <w:vAlign w:val="center"/>
          </w:tcPr>
          <w:p w14:paraId="78627753" w14:textId="77777777" w:rsidR="00C02F63" w:rsidRPr="004452A8" w:rsidRDefault="00C02F63" w:rsidP="00FF5645">
            <w:pPr>
              <w:jc w:val="right"/>
              <w:rPr>
                <w:bCs/>
                <w:sz w:val="18"/>
              </w:rPr>
            </w:pPr>
            <w:r>
              <w:rPr>
                <w:bCs/>
                <w:sz w:val="18"/>
              </w:rPr>
              <w:t>+14,9</w:t>
            </w:r>
          </w:p>
        </w:tc>
        <w:tc>
          <w:tcPr>
            <w:tcW w:w="1074" w:type="dxa"/>
            <w:tcBorders>
              <w:top w:val="nil"/>
              <w:left w:val="single" w:sz="4" w:space="0" w:color="auto"/>
              <w:bottom w:val="nil"/>
              <w:right w:val="single" w:sz="4" w:space="0" w:color="auto"/>
            </w:tcBorders>
            <w:tcMar>
              <w:right w:w="227" w:type="dxa"/>
            </w:tcMar>
            <w:vAlign w:val="center"/>
          </w:tcPr>
          <w:p w14:paraId="748898D8" w14:textId="77777777" w:rsidR="00C02F63" w:rsidRDefault="00C02F63" w:rsidP="00FF5645">
            <w:pPr>
              <w:jc w:val="right"/>
              <w:rPr>
                <w:rFonts w:cs="Arial"/>
                <w:sz w:val="18"/>
                <w:szCs w:val="18"/>
              </w:rPr>
            </w:pPr>
            <w:r>
              <w:rPr>
                <w:rFonts w:cs="Arial"/>
                <w:sz w:val="18"/>
                <w:szCs w:val="18"/>
              </w:rPr>
              <w:t>56 729</w:t>
            </w:r>
          </w:p>
        </w:tc>
        <w:tc>
          <w:tcPr>
            <w:tcW w:w="1074" w:type="dxa"/>
            <w:tcBorders>
              <w:top w:val="nil"/>
              <w:left w:val="single" w:sz="4" w:space="0" w:color="auto"/>
              <w:bottom w:val="nil"/>
              <w:right w:val="nil"/>
            </w:tcBorders>
            <w:tcMar>
              <w:left w:w="0" w:type="dxa"/>
              <w:right w:w="0" w:type="dxa"/>
            </w:tcMar>
          </w:tcPr>
          <w:p w14:paraId="375C93AD" w14:textId="77777777" w:rsidR="00C02F63" w:rsidRPr="004452A8" w:rsidRDefault="00C02F63" w:rsidP="00FF5645">
            <w:pPr>
              <w:jc w:val="center"/>
              <w:rPr>
                <w:bCs/>
                <w:color w:val="92D050"/>
                <w:sz w:val="28"/>
                <w:szCs w:val="28"/>
              </w:rPr>
            </w:pPr>
            <w:r w:rsidRPr="00F15A64">
              <w:rPr>
                <w:bCs/>
                <w:color w:val="92D050"/>
                <w:sz w:val="28"/>
                <w:szCs w:val="28"/>
              </w:rPr>
              <w:sym w:font="Wingdings 3" w:char="F0C7"/>
            </w:r>
          </w:p>
        </w:tc>
        <w:tc>
          <w:tcPr>
            <w:tcW w:w="1075" w:type="dxa"/>
            <w:tcBorders>
              <w:top w:val="nil"/>
              <w:left w:val="nil"/>
              <w:bottom w:val="nil"/>
            </w:tcBorders>
            <w:tcMar>
              <w:right w:w="284" w:type="dxa"/>
            </w:tcMar>
            <w:vAlign w:val="center"/>
          </w:tcPr>
          <w:p w14:paraId="759A1B67" w14:textId="77777777" w:rsidR="00C02F63" w:rsidRDefault="00C02F63" w:rsidP="00FF5645">
            <w:pPr>
              <w:jc w:val="right"/>
              <w:rPr>
                <w:bCs/>
                <w:sz w:val="18"/>
              </w:rPr>
            </w:pPr>
            <w:r>
              <w:rPr>
                <w:bCs/>
                <w:sz w:val="18"/>
              </w:rPr>
              <w:t>+8,7</w:t>
            </w:r>
          </w:p>
        </w:tc>
      </w:tr>
      <w:tr w:rsidR="00C02F63" w14:paraId="2CB08E95" w14:textId="77777777" w:rsidTr="00FF5645">
        <w:trPr>
          <w:cantSplit/>
          <w:trHeight w:val="284"/>
        </w:trPr>
        <w:tc>
          <w:tcPr>
            <w:tcW w:w="918" w:type="dxa"/>
            <w:vMerge/>
            <w:vAlign w:val="center"/>
          </w:tcPr>
          <w:p w14:paraId="6AD06EE3" w14:textId="77777777" w:rsidR="00C02F63" w:rsidRDefault="00C02F63" w:rsidP="00FF5645">
            <w:pPr>
              <w:jc w:val="center"/>
              <w:rPr>
                <w:rFonts w:cs="Arial"/>
                <w:sz w:val="18"/>
                <w:szCs w:val="16"/>
              </w:rPr>
            </w:pPr>
          </w:p>
        </w:tc>
        <w:tc>
          <w:tcPr>
            <w:tcW w:w="1776" w:type="dxa"/>
            <w:tcBorders>
              <w:top w:val="nil"/>
              <w:bottom w:val="single" w:sz="4" w:space="0" w:color="auto"/>
            </w:tcBorders>
            <w:vAlign w:val="center"/>
          </w:tcPr>
          <w:p w14:paraId="593AEE4E" w14:textId="77777777" w:rsidR="00C02F63" w:rsidRPr="00D164B4" w:rsidRDefault="00C02F63" w:rsidP="00FF5645">
            <w:pPr>
              <w:rPr>
                <w:sz w:val="18"/>
                <w:szCs w:val="18"/>
              </w:rPr>
            </w:pPr>
            <w:r>
              <w:rPr>
                <w:sz w:val="18"/>
              </w:rPr>
              <w:t>3. čtvrtletí</w:t>
            </w:r>
          </w:p>
        </w:tc>
        <w:tc>
          <w:tcPr>
            <w:tcW w:w="1074" w:type="dxa"/>
            <w:tcBorders>
              <w:top w:val="nil"/>
              <w:bottom w:val="single" w:sz="4" w:space="0" w:color="auto"/>
              <w:right w:val="single" w:sz="4" w:space="0" w:color="auto"/>
            </w:tcBorders>
            <w:tcMar>
              <w:right w:w="284" w:type="dxa"/>
            </w:tcMar>
            <w:vAlign w:val="center"/>
          </w:tcPr>
          <w:p w14:paraId="44D4F948" w14:textId="77777777" w:rsidR="00C02F63" w:rsidRPr="004452A8" w:rsidRDefault="00C02F63" w:rsidP="00FF5645">
            <w:pPr>
              <w:jc w:val="right"/>
              <w:rPr>
                <w:rFonts w:cs="Arial"/>
                <w:sz w:val="18"/>
                <w:szCs w:val="18"/>
              </w:rPr>
            </w:pPr>
            <w:r>
              <w:rPr>
                <w:rFonts w:cs="Arial"/>
                <w:sz w:val="18"/>
                <w:szCs w:val="18"/>
              </w:rPr>
              <w:t>1 989</w:t>
            </w:r>
          </w:p>
        </w:tc>
        <w:tc>
          <w:tcPr>
            <w:tcW w:w="1074" w:type="dxa"/>
            <w:tcBorders>
              <w:top w:val="nil"/>
              <w:left w:val="single" w:sz="4" w:space="0" w:color="auto"/>
              <w:bottom w:val="single" w:sz="4" w:space="0" w:color="auto"/>
              <w:right w:val="nil"/>
            </w:tcBorders>
          </w:tcPr>
          <w:p w14:paraId="396C1BEB" w14:textId="77777777" w:rsidR="00C02F63" w:rsidRPr="004452A8" w:rsidRDefault="00C02F63" w:rsidP="00FF5645">
            <w:pPr>
              <w:jc w:val="center"/>
              <w:rPr>
                <w:bCs/>
                <w:color w:val="92D050"/>
                <w:sz w:val="28"/>
                <w:szCs w:val="28"/>
              </w:rPr>
            </w:pPr>
            <w:r w:rsidRPr="008909F8">
              <w:rPr>
                <w:bCs/>
                <w:color w:val="92D050"/>
                <w:sz w:val="28"/>
                <w:szCs w:val="28"/>
              </w:rPr>
              <w:sym w:font="Wingdings 3" w:char="F0C7"/>
            </w:r>
          </w:p>
        </w:tc>
        <w:tc>
          <w:tcPr>
            <w:tcW w:w="1075" w:type="dxa"/>
            <w:tcBorders>
              <w:top w:val="nil"/>
              <w:left w:val="nil"/>
              <w:bottom w:val="single" w:sz="4" w:space="0" w:color="auto"/>
              <w:right w:val="single" w:sz="4" w:space="0" w:color="auto"/>
            </w:tcBorders>
            <w:tcMar>
              <w:left w:w="0" w:type="dxa"/>
              <w:right w:w="284" w:type="dxa"/>
            </w:tcMar>
            <w:vAlign w:val="center"/>
          </w:tcPr>
          <w:p w14:paraId="0377DB45" w14:textId="77777777" w:rsidR="00C02F63" w:rsidRPr="004452A8" w:rsidRDefault="00C02F63" w:rsidP="00FF5645">
            <w:pPr>
              <w:jc w:val="right"/>
              <w:rPr>
                <w:bCs/>
                <w:sz w:val="18"/>
              </w:rPr>
            </w:pPr>
            <w:r>
              <w:rPr>
                <w:bCs/>
                <w:sz w:val="18"/>
              </w:rPr>
              <w:t>+3,9</w:t>
            </w:r>
          </w:p>
        </w:tc>
        <w:tc>
          <w:tcPr>
            <w:tcW w:w="1074" w:type="dxa"/>
            <w:tcBorders>
              <w:top w:val="nil"/>
              <w:left w:val="single" w:sz="4" w:space="0" w:color="auto"/>
              <w:bottom w:val="single" w:sz="4" w:space="0" w:color="auto"/>
              <w:right w:val="single" w:sz="4" w:space="0" w:color="auto"/>
            </w:tcBorders>
            <w:tcMar>
              <w:right w:w="227" w:type="dxa"/>
            </w:tcMar>
            <w:vAlign w:val="center"/>
          </w:tcPr>
          <w:p w14:paraId="282391D4" w14:textId="77777777" w:rsidR="00C02F63" w:rsidRDefault="00C02F63" w:rsidP="00FF5645">
            <w:pPr>
              <w:jc w:val="right"/>
              <w:rPr>
                <w:rFonts w:cs="Arial"/>
                <w:sz w:val="18"/>
                <w:szCs w:val="18"/>
              </w:rPr>
            </w:pPr>
            <w:r>
              <w:rPr>
                <w:rFonts w:cs="Arial"/>
                <w:sz w:val="18"/>
                <w:szCs w:val="18"/>
              </w:rPr>
              <w:t>60 104</w:t>
            </w:r>
          </w:p>
        </w:tc>
        <w:tc>
          <w:tcPr>
            <w:tcW w:w="1074" w:type="dxa"/>
            <w:tcBorders>
              <w:top w:val="nil"/>
              <w:left w:val="single" w:sz="4" w:space="0" w:color="auto"/>
              <w:bottom w:val="single" w:sz="4" w:space="0" w:color="auto"/>
              <w:right w:val="nil"/>
            </w:tcBorders>
            <w:tcMar>
              <w:left w:w="0" w:type="dxa"/>
              <w:right w:w="0" w:type="dxa"/>
            </w:tcMar>
          </w:tcPr>
          <w:p w14:paraId="779E287C" w14:textId="77777777" w:rsidR="00C02F63" w:rsidRPr="004452A8" w:rsidRDefault="00C02F63" w:rsidP="00FF5645">
            <w:pPr>
              <w:jc w:val="center"/>
              <w:rPr>
                <w:bCs/>
                <w:color w:val="92D050"/>
                <w:sz w:val="28"/>
                <w:szCs w:val="28"/>
              </w:rPr>
            </w:pPr>
            <w:r w:rsidRPr="00F15A64">
              <w:rPr>
                <w:bCs/>
                <w:color w:val="92D050"/>
                <w:sz w:val="28"/>
                <w:szCs w:val="28"/>
              </w:rPr>
              <w:sym w:font="Wingdings 3" w:char="F0C7"/>
            </w:r>
          </w:p>
        </w:tc>
        <w:tc>
          <w:tcPr>
            <w:tcW w:w="1075" w:type="dxa"/>
            <w:tcBorders>
              <w:top w:val="nil"/>
              <w:left w:val="nil"/>
              <w:bottom w:val="single" w:sz="4" w:space="0" w:color="auto"/>
            </w:tcBorders>
            <w:tcMar>
              <w:right w:w="284" w:type="dxa"/>
            </w:tcMar>
            <w:vAlign w:val="center"/>
          </w:tcPr>
          <w:p w14:paraId="09841F47" w14:textId="77777777" w:rsidR="00C02F63" w:rsidRDefault="00C02F63" w:rsidP="00FF5645">
            <w:pPr>
              <w:jc w:val="right"/>
              <w:rPr>
                <w:bCs/>
                <w:sz w:val="18"/>
              </w:rPr>
            </w:pPr>
            <w:r>
              <w:rPr>
                <w:bCs/>
                <w:sz w:val="18"/>
              </w:rPr>
              <w:t>+31,5</w:t>
            </w:r>
          </w:p>
        </w:tc>
      </w:tr>
      <w:tr w:rsidR="00C02F63" w14:paraId="33B90647" w14:textId="77777777" w:rsidTr="00FF5645">
        <w:trPr>
          <w:cantSplit/>
          <w:trHeight w:val="284"/>
        </w:trPr>
        <w:tc>
          <w:tcPr>
            <w:tcW w:w="918" w:type="dxa"/>
            <w:vMerge/>
            <w:tcBorders>
              <w:bottom w:val="single" w:sz="4" w:space="0" w:color="auto"/>
            </w:tcBorders>
            <w:vAlign w:val="center"/>
          </w:tcPr>
          <w:p w14:paraId="0C5AAEEB" w14:textId="77777777" w:rsidR="00C02F63" w:rsidRDefault="00C02F63" w:rsidP="00FF5645">
            <w:pPr>
              <w:jc w:val="center"/>
              <w:rPr>
                <w:rFonts w:cs="Arial"/>
                <w:sz w:val="18"/>
                <w:szCs w:val="16"/>
              </w:rPr>
            </w:pPr>
          </w:p>
        </w:tc>
        <w:tc>
          <w:tcPr>
            <w:tcW w:w="1776" w:type="dxa"/>
            <w:tcBorders>
              <w:top w:val="single" w:sz="4" w:space="0" w:color="auto"/>
              <w:bottom w:val="single" w:sz="4" w:space="0" w:color="auto"/>
            </w:tcBorders>
            <w:vAlign w:val="center"/>
          </w:tcPr>
          <w:p w14:paraId="0DF5171C" w14:textId="77777777" w:rsidR="00C02F63" w:rsidRPr="00D146B0" w:rsidRDefault="00C02F63" w:rsidP="00FF5645">
            <w:pPr>
              <w:rPr>
                <w:b/>
                <w:bCs/>
                <w:sz w:val="18"/>
                <w:szCs w:val="18"/>
              </w:rPr>
            </w:pPr>
            <w:r w:rsidRPr="00D146B0">
              <w:rPr>
                <w:b/>
                <w:bCs/>
                <w:sz w:val="18"/>
                <w:szCs w:val="18"/>
              </w:rPr>
              <w:t>Leden až září</w:t>
            </w:r>
          </w:p>
        </w:tc>
        <w:tc>
          <w:tcPr>
            <w:tcW w:w="1074" w:type="dxa"/>
            <w:tcBorders>
              <w:top w:val="single" w:sz="4" w:space="0" w:color="auto"/>
              <w:bottom w:val="single" w:sz="4" w:space="0" w:color="auto"/>
              <w:right w:val="single" w:sz="4" w:space="0" w:color="auto"/>
            </w:tcBorders>
            <w:tcMar>
              <w:right w:w="284" w:type="dxa"/>
            </w:tcMar>
            <w:vAlign w:val="center"/>
          </w:tcPr>
          <w:p w14:paraId="0E844752" w14:textId="77777777" w:rsidR="00C02F63" w:rsidRPr="004452A8" w:rsidRDefault="00C02F63" w:rsidP="00FF5645">
            <w:pPr>
              <w:jc w:val="right"/>
              <w:rPr>
                <w:rFonts w:cs="Arial"/>
                <w:sz w:val="18"/>
                <w:szCs w:val="18"/>
              </w:rPr>
            </w:pPr>
            <w:r>
              <w:rPr>
                <w:rFonts w:cs="Arial"/>
                <w:sz w:val="18"/>
                <w:szCs w:val="18"/>
              </w:rPr>
              <w:t>5 395</w:t>
            </w:r>
          </w:p>
        </w:tc>
        <w:tc>
          <w:tcPr>
            <w:tcW w:w="1074" w:type="dxa"/>
            <w:tcBorders>
              <w:top w:val="single" w:sz="4" w:space="0" w:color="auto"/>
              <w:left w:val="single" w:sz="4" w:space="0" w:color="auto"/>
              <w:bottom w:val="single" w:sz="4" w:space="0" w:color="auto"/>
              <w:right w:val="nil"/>
            </w:tcBorders>
          </w:tcPr>
          <w:p w14:paraId="03B0C678" w14:textId="77777777" w:rsidR="00C02F63" w:rsidRPr="004452A8" w:rsidRDefault="00C02F63" w:rsidP="00FF5645">
            <w:pPr>
              <w:jc w:val="center"/>
              <w:rPr>
                <w:bCs/>
                <w:color w:val="92D050"/>
                <w:sz w:val="28"/>
                <w:szCs w:val="28"/>
              </w:rPr>
            </w:pPr>
            <w:r w:rsidRPr="008909F8">
              <w:rPr>
                <w:bCs/>
                <w:color w:val="92D050"/>
                <w:sz w:val="28"/>
                <w:szCs w:val="28"/>
              </w:rPr>
              <w:sym w:font="Wingdings 3" w:char="F0C7"/>
            </w:r>
          </w:p>
        </w:tc>
        <w:tc>
          <w:tcPr>
            <w:tcW w:w="1075" w:type="dxa"/>
            <w:tcBorders>
              <w:top w:val="single" w:sz="4" w:space="0" w:color="auto"/>
              <w:left w:val="nil"/>
              <w:bottom w:val="single" w:sz="4" w:space="0" w:color="auto"/>
              <w:right w:val="single" w:sz="4" w:space="0" w:color="auto"/>
            </w:tcBorders>
            <w:tcMar>
              <w:left w:w="0" w:type="dxa"/>
              <w:right w:w="284" w:type="dxa"/>
            </w:tcMar>
            <w:vAlign w:val="center"/>
          </w:tcPr>
          <w:p w14:paraId="2FBAAD7B" w14:textId="77777777" w:rsidR="00C02F63" w:rsidRPr="004452A8" w:rsidRDefault="00C02F63" w:rsidP="00FF5645">
            <w:pPr>
              <w:jc w:val="right"/>
              <w:rPr>
                <w:bCs/>
                <w:sz w:val="18"/>
              </w:rPr>
            </w:pPr>
            <w:r>
              <w:rPr>
                <w:bCs/>
                <w:sz w:val="18"/>
              </w:rPr>
              <w:t>+10,0</w:t>
            </w:r>
          </w:p>
        </w:tc>
        <w:tc>
          <w:tcPr>
            <w:tcW w:w="1074" w:type="dxa"/>
            <w:tcBorders>
              <w:top w:val="single" w:sz="4" w:space="0" w:color="auto"/>
              <w:left w:val="single" w:sz="4" w:space="0" w:color="auto"/>
              <w:bottom w:val="single" w:sz="4" w:space="0" w:color="auto"/>
              <w:right w:val="single" w:sz="4" w:space="0" w:color="auto"/>
            </w:tcBorders>
            <w:tcMar>
              <w:right w:w="227" w:type="dxa"/>
            </w:tcMar>
            <w:vAlign w:val="center"/>
          </w:tcPr>
          <w:p w14:paraId="279E10E4" w14:textId="77777777" w:rsidR="00C02F63" w:rsidRDefault="00C02F63" w:rsidP="00FF5645">
            <w:pPr>
              <w:jc w:val="right"/>
              <w:rPr>
                <w:rFonts w:cs="Arial"/>
                <w:sz w:val="18"/>
                <w:szCs w:val="18"/>
              </w:rPr>
            </w:pPr>
            <w:r>
              <w:rPr>
                <w:rFonts w:cs="Arial"/>
                <w:sz w:val="18"/>
                <w:szCs w:val="18"/>
              </w:rPr>
              <w:t>183 803</w:t>
            </w:r>
          </w:p>
        </w:tc>
        <w:tc>
          <w:tcPr>
            <w:tcW w:w="1074" w:type="dxa"/>
            <w:tcBorders>
              <w:top w:val="single" w:sz="4" w:space="0" w:color="auto"/>
              <w:left w:val="single" w:sz="4" w:space="0" w:color="auto"/>
              <w:bottom w:val="single" w:sz="4" w:space="0" w:color="auto"/>
              <w:right w:val="nil"/>
            </w:tcBorders>
            <w:tcMar>
              <w:left w:w="0" w:type="dxa"/>
              <w:right w:w="0" w:type="dxa"/>
            </w:tcMar>
          </w:tcPr>
          <w:p w14:paraId="75FAC00F" w14:textId="77777777" w:rsidR="00C02F63" w:rsidRPr="004452A8" w:rsidRDefault="00C02F63" w:rsidP="00FF5645">
            <w:pPr>
              <w:jc w:val="center"/>
              <w:rPr>
                <w:bCs/>
                <w:color w:val="92D050"/>
                <w:sz w:val="28"/>
                <w:szCs w:val="28"/>
              </w:rPr>
            </w:pPr>
            <w:r w:rsidRPr="00F15A64">
              <w:rPr>
                <w:bCs/>
                <w:color w:val="92D050"/>
                <w:sz w:val="28"/>
                <w:szCs w:val="28"/>
              </w:rPr>
              <w:sym w:font="Wingdings 3" w:char="F0C7"/>
            </w:r>
          </w:p>
        </w:tc>
        <w:tc>
          <w:tcPr>
            <w:tcW w:w="1075" w:type="dxa"/>
            <w:tcBorders>
              <w:top w:val="single" w:sz="4" w:space="0" w:color="auto"/>
              <w:left w:val="nil"/>
              <w:bottom w:val="single" w:sz="4" w:space="0" w:color="auto"/>
            </w:tcBorders>
            <w:tcMar>
              <w:right w:w="284" w:type="dxa"/>
            </w:tcMar>
            <w:vAlign w:val="center"/>
          </w:tcPr>
          <w:p w14:paraId="2FA6F95C" w14:textId="77777777" w:rsidR="00C02F63" w:rsidRDefault="00C02F63" w:rsidP="00FF5645">
            <w:pPr>
              <w:jc w:val="right"/>
              <w:rPr>
                <w:bCs/>
                <w:sz w:val="18"/>
              </w:rPr>
            </w:pPr>
            <w:r>
              <w:rPr>
                <w:bCs/>
                <w:sz w:val="18"/>
              </w:rPr>
              <w:t>+34,1</w:t>
            </w:r>
          </w:p>
        </w:tc>
      </w:tr>
    </w:tbl>
    <w:p w14:paraId="5C32B30C" w14:textId="77777777" w:rsidR="00C02F63" w:rsidRPr="001D0CC6" w:rsidRDefault="00C02F63" w:rsidP="00C02F63">
      <w:pPr>
        <w:rPr>
          <w:bCs/>
          <w:sz w:val="16"/>
          <w:szCs w:val="16"/>
        </w:rPr>
      </w:pPr>
      <w:r>
        <w:rPr>
          <w:bCs/>
          <w:sz w:val="16"/>
          <w:szCs w:val="16"/>
        </w:rPr>
        <w:t>Zdroj: Věstník veřejných zakázek, výpočty CEEC Research</w:t>
      </w:r>
    </w:p>
    <w:p w14:paraId="121847A0" w14:textId="7212543A" w:rsidR="00B05BB9" w:rsidRDefault="000056FC">
      <w:r>
        <w:rPr>
          <w:noProof/>
        </w:rPr>
        <w:drawing>
          <wp:inline distT="0" distB="0" distL="0" distR="0" wp14:anchorId="08ED9FC0" wp14:editId="344D150A">
            <wp:extent cx="5760720" cy="3673475"/>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673475"/>
                    </a:xfrm>
                    <a:prstGeom prst="rect">
                      <a:avLst/>
                    </a:prstGeom>
                  </pic:spPr>
                </pic:pic>
              </a:graphicData>
            </a:graphic>
          </wp:inline>
        </w:drawing>
      </w:r>
    </w:p>
    <w:p w14:paraId="443620AB" w14:textId="6B9013AA" w:rsidR="006721AA" w:rsidRDefault="006721AA"/>
    <w:p w14:paraId="114F4EE8" w14:textId="40B09D63" w:rsidR="006721AA" w:rsidRPr="003D312E" w:rsidRDefault="006721AA" w:rsidP="006721AA">
      <w:pPr>
        <w:jc w:val="center"/>
        <w:rPr>
          <w:rFonts w:asciiTheme="majorHAnsi" w:hAnsiTheme="majorHAnsi" w:cstheme="majorHAnsi"/>
          <w:b/>
          <w:bCs/>
          <w:sz w:val="36"/>
          <w:szCs w:val="36"/>
        </w:rPr>
      </w:pPr>
      <w:r w:rsidRPr="003D312E">
        <w:rPr>
          <w:rFonts w:asciiTheme="majorHAnsi" w:hAnsiTheme="majorHAnsi" w:cstheme="majorHAnsi"/>
          <w:b/>
          <w:bCs/>
          <w:sz w:val="36"/>
          <w:szCs w:val="36"/>
        </w:rPr>
        <w:lastRenderedPageBreak/>
        <w:t>KVARTÁLNÍ ANALÝZA ČESKÉHO STAVEBNICTVÍ Q4/2021 BUDE ZVEŘEJNĚNA NA:</w:t>
      </w:r>
    </w:p>
    <w:p w14:paraId="5292BA87" w14:textId="42B2CE18" w:rsidR="006721AA" w:rsidRPr="003D312E" w:rsidRDefault="006721AA" w:rsidP="006721AA">
      <w:pPr>
        <w:jc w:val="center"/>
        <w:rPr>
          <w:rFonts w:asciiTheme="majorHAnsi" w:hAnsiTheme="majorHAnsi" w:cstheme="majorHAnsi"/>
          <w:b/>
          <w:bCs/>
          <w:sz w:val="36"/>
          <w:szCs w:val="36"/>
        </w:rPr>
      </w:pPr>
      <w:hyperlink r:id="rId8" w:history="1">
        <w:r w:rsidRPr="003D312E">
          <w:rPr>
            <w:rStyle w:val="Hypertextovodkaz"/>
            <w:rFonts w:asciiTheme="majorHAnsi" w:hAnsiTheme="majorHAnsi" w:cstheme="majorHAnsi"/>
            <w:b/>
            <w:bCs/>
            <w:sz w:val="36"/>
            <w:szCs w:val="36"/>
          </w:rPr>
          <w:t>www.ceec.eu</w:t>
        </w:r>
      </w:hyperlink>
    </w:p>
    <w:p w14:paraId="18FE0AC5" w14:textId="77777777" w:rsidR="00C02F63" w:rsidRDefault="00C02F63" w:rsidP="00C02F63">
      <w:pPr>
        <w:spacing w:before="240" w:after="240" w:line="240" w:lineRule="auto"/>
        <w:rPr>
          <w:rFonts w:ascii="Times New Roman" w:eastAsia="Times New Roman" w:hAnsi="Times New Roman" w:cs="Times New Roman"/>
          <w:color w:val="000000"/>
          <w:lang w:eastAsia="cs-CZ"/>
        </w:rPr>
      </w:pPr>
      <w:r>
        <w:rPr>
          <w:rFonts w:ascii="Calibri" w:eastAsia="Times New Roman" w:hAnsi="Calibri" w:cs="Calibri"/>
          <w:b/>
          <w:bCs/>
          <w:color w:val="000000"/>
          <w:lang w:eastAsia="cs-CZ"/>
        </w:rPr>
        <w:t>Kontakt pro média:</w:t>
      </w:r>
      <w:r>
        <w:rPr>
          <w:rFonts w:ascii="Calibri" w:eastAsia="Times New Roman" w:hAnsi="Calibri" w:cs="Calibri"/>
          <w:b/>
          <w:bCs/>
          <w:color w:val="000000"/>
          <w:lang w:eastAsia="cs-CZ"/>
        </w:rPr>
        <w:br/>
      </w:r>
      <w:r>
        <w:rPr>
          <w:rFonts w:ascii="Calibri" w:eastAsia="Times New Roman" w:hAnsi="Calibri" w:cs="Calibri"/>
          <w:color w:val="000000"/>
          <w:lang w:eastAsia="cs-CZ"/>
        </w:rPr>
        <w:t>Ing. Michal Vacek,</w:t>
      </w:r>
      <w:r>
        <w:rPr>
          <w:rFonts w:ascii="Calibri" w:eastAsia="Times New Roman" w:hAnsi="Calibri" w:cs="Calibri"/>
          <w:color w:val="000000"/>
          <w:lang w:eastAsia="cs-CZ"/>
        </w:rPr>
        <w:br/>
        <w:t>ředitel společnosti</w:t>
      </w:r>
      <w:r>
        <w:rPr>
          <w:rFonts w:ascii="Calibri" w:eastAsia="Times New Roman" w:hAnsi="Calibri" w:cs="Calibri"/>
          <w:color w:val="000000"/>
          <w:lang w:eastAsia="cs-CZ"/>
        </w:rPr>
        <w:br/>
        <w:t>CEEC Research</w:t>
      </w:r>
      <w:r>
        <w:rPr>
          <w:rFonts w:ascii="Calibri" w:eastAsia="Times New Roman" w:hAnsi="Calibri" w:cs="Calibri"/>
          <w:color w:val="000000"/>
          <w:lang w:eastAsia="cs-CZ"/>
        </w:rPr>
        <w:br/>
        <w:t>+420 776 023 170</w:t>
      </w:r>
      <w:r>
        <w:rPr>
          <w:rFonts w:ascii="Calibri" w:eastAsia="Times New Roman" w:hAnsi="Calibri" w:cs="Calibri"/>
          <w:color w:val="000000"/>
          <w:lang w:eastAsia="cs-CZ"/>
        </w:rPr>
        <w:br/>
      </w:r>
      <w:r>
        <w:rPr>
          <w:rFonts w:ascii="Calibri" w:eastAsia="Times New Roman" w:hAnsi="Calibri" w:cs="Calibri"/>
          <w:color w:val="1155CC"/>
          <w:u w:val="single"/>
          <w:lang w:eastAsia="cs-CZ"/>
        </w:rPr>
        <w:t>michal.vacek@ceec.eu</w:t>
      </w:r>
    </w:p>
    <w:p w14:paraId="64EFEDD9" w14:textId="77777777" w:rsidR="00C02F63" w:rsidRPr="00B91CDF" w:rsidRDefault="00C02F63" w:rsidP="00C02F63">
      <w:pPr>
        <w:spacing w:after="0" w:line="240" w:lineRule="auto"/>
        <w:jc w:val="both"/>
        <w:rPr>
          <w:rFonts w:asciiTheme="majorHAnsi" w:hAnsiTheme="majorHAnsi" w:cstheme="majorHAnsi"/>
        </w:rPr>
      </w:pPr>
      <w:r w:rsidRPr="00B91CDF">
        <w:rPr>
          <w:rFonts w:asciiTheme="majorHAnsi" w:hAnsiTheme="majorHAnsi" w:cstheme="majorHAnsi"/>
        </w:rPr>
        <w:t>Společnost CEEC Research je přední analytickou a výzkumnou společností zaměřující se na vývoj vybraných sektorů ekonomiky v zemích střední a východní Evropy. Její studie jsou využívány v současné době více než 17</w:t>
      </w:r>
      <w:r>
        <w:rPr>
          <w:rFonts w:asciiTheme="majorHAnsi" w:hAnsiTheme="majorHAnsi" w:cstheme="majorHAnsi"/>
        </w:rPr>
        <w:t> </w:t>
      </w:r>
      <w:r w:rsidRPr="00B91CDF">
        <w:rPr>
          <w:rFonts w:asciiTheme="majorHAnsi" w:hAnsiTheme="majorHAnsi" w:cstheme="majorHAnsi"/>
        </w:rPr>
        <w:t>000 společnostmi. Společnost CEEC Research vznikla v roce 2005 jako analytická organizace specializující se na zpracování výzkumů a analýz stavebního sektoru, následně se analytické zaměření rozšířilo i na další vybrané sektory ekonomiky, včetně stavebnictví.</w:t>
      </w:r>
    </w:p>
    <w:p w14:paraId="63848635" w14:textId="77777777" w:rsidR="00C02F63" w:rsidRPr="00B91CDF" w:rsidRDefault="00C02F63" w:rsidP="00C02F63">
      <w:pPr>
        <w:spacing w:after="0" w:line="240" w:lineRule="auto"/>
        <w:jc w:val="both"/>
        <w:rPr>
          <w:rFonts w:asciiTheme="majorHAnsi" w:hAnsiTheme="majorHAnsi" w:cstheme="majorHAnsi"/>
        </w:rPr>
      </w:pPr>
      <w:r w:rsidRPr="00B91CDF">
        <w:rPr>
          <w:rFonts w:asciiTheme="majorHAnsi" w:hAnsiTheme="majorHAnsi" w:cstheme="majorHAnsi"/>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 </w:t>
      </w:r>
    </w:p>
    <w:p w14:paraId="6E1D7A11" w14:textId="77777777" w:rsidR="00C02F63" w:rsidRDefault="00C02F63" w:rsidP="00C02F63"/>
    <w:p w14:paraId="540F55F3" w14:textId="77777777" w:rsidR="00C02F63" w:rsidRDefault="00C02F63"/>
    <w:sectPr w:rsidR="00C02F6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54E8" w14:textId="77777777" w:rsidR="00EC1EEE" w:rsidRDefault="00EC1EEE" w:rsidP="00C02F63">
      <w:pPr>
        <w:spacing w:after="0" w:line="240" w:lineRule="auto"/>
      </w:pPr>
      <w:r>
        <w:separator/>
      </w:r>
    </w:p>
  </w:endnote>
  <w:endnote w:type="continuationSeparator" w:id="0">
    <w:p w14:paraId="6EBE4F61" w14:textId="77777777" w:rsidR="00EC1EEE" w:rsidRDefault="00EC1EEE" w:rsidP="00C02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ABBE2" w14:textId="77777777" w:rsidR="00EC1EEE" w:rsidRDefault="00EC1EEE" w:rsidP="00C02F63">
      <w:pPr>
        <w:spacing w:after="0" w:line="240" w:lineRule="auto"/>
      </w:pPr>
      <w:r>
        <w:separator/>
      </w:r>
    </w:p>
  </w:footnote>
  <w:footnote w:type="continuationSeparator" w:id="0">
    <w:p w14:paraId="611E33E9" w14:textId="77777777" w:rsidR="00EC1EEE" w:rsidRDefault="00EC1EEE" w:rsidP="00C02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4F01" w14:textId="010AE731" w:rsidR="00C02F63" w:rsidRDefault="00512574">
    <w:pPr>
      <w:pStyle w:val="Zhlav"/>
    </w:pPr>
    <w:r>
      <w:rPr>
        <w:noProof/>
      </w:rPr>
      <w:drawing>
        <wp:anchor distT="0" distB="0" distL="114300" distR="114300" simplePos="0" relativeHeight="251660288" behindDoc="0" locked="0" layoutInCell="1" allowOverlap="1" wp14:anchorId="1A53FF58" wp14:editId="770B7034">
          <wp:simplePos x="0" y="0"/>
          <wp:positionH relativeFrom="margin">
            <wp:align>right</wp:align>
          </wp:positionH>
          <wp:positionV relativeFrom="paragraph">
            <wp:posOffset>-316230</wp:posOffset>
          </wp:positionV>
          <wp:extent cx="1438275" cy="1238250"/>
          <wp:effectExtent l="0" t="0" r="9525"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38275" cy="1238250"/>
                  </a:xfrm>
                  <a:prstGeom prst="rect">
                    <a:avLst/>
                  </a:prstGeom>
                </pic:spPr>
              </pic:pic>
            </a:graphicData>
          </a:graphic>
        </wp:anchor>
      </w:drawing>
    </w:r>
    <w:r w:rsidR="00C02F63">
      <w:rPr>
        <w:noProof/>
      </w:rPr>
      <w:drawing>
        <wp:anchor distT="0" distB="0" distL="114300" distR="114300" simplePos="0" relativeHeight="251659264" behindDoc="0" locked="0" layoutInCell="1" allowOverlap="1" wp14:anchorId="1BF0B8A6" wp14:editId="786AD214">
          <wp:simplePos x="0" y="0"/>
          <wp:positionH relativeFrom="margin">
            <wp:align>left</wp:align>
          </wp:positionH>
          <wp:positionV relativeFrom="paragraph">
            <wp:posOffset>-325755</wp:posOffset>
          </wp:positionV>
          <wp:extent cx="1885950" cy="1012190"/>
          <wp:effectExtent l="0" t="0" r="0" b="0"/>
          <wp:wrapTopAndBottom/>
          <wp:docPr id="7" name="Obrázek 7"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2">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63"/>
    <w:rsid w:val="000056FC"/>
    <w:rsid w:val="000C0FDC"/>
    <w:rsid w:val="003D312E"/>
    <w:rsid w:val="00512574"/>
    <w:rsid w:val="006721AA"/>
    <w:rsid w:val="00B05BB9"/>
    <w:rsid w:val="00B2556D"/>
    <w:rsid w:val="00BA10E1"/>
    <w:rsid w:val="00C02F63"/>
    <w:rsid w:val="00EC1EEE"/>
    <w:rsid w:val="00F76F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745E"/>
  <w15:chartTrackingRefBased/>
  <w15:docId w15:val="{1626E9D2-ADC7-493B-BAE0-B3CF039B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02F63"/>
  </w:style>
  <w:style w:type="paragraph" w:styleId="Nadpis1">
    <w:name w:val="heading 1"/>
    <w:basedOn w:val="Normln"/>
    <w:next w:val="Normln"/>
    <w:link w:val="Nadpis1Char"/>
    <w:uiPriority w:val="9"/>
    <w:qFormat/>
    <w:rsid w:val="00C02F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02F63"/>
    <w:rPr>
      <w:rFonts w:asciiTheme="majorHAnsi" w:eastAsiaTheme="majorEastAsia" w:hAnsiTheme="majorHAnsi" w:cstheme="majorBidi"/>
      <w:color w:val="2F5496" w:themeColor="accent1" w:themeShade="BF"/>
      <w:sz w:val="32"/>
      <w:szCs w:val="32"/>
    </w:rPr>
  </w:style>
  <w:style w:type="paragraph" w:styleId="Bezmezer">
    <w:name w:val="No Spacing"/>
    <w:uiPriority w:val="1"/>
    <w:qFormat/>
    <w:rsid w:val="00C02F63"/>
    <w:pPr>
      <w:spacing w:after="0" w:line="240" w:lineRule="auto"/>
    </w:pPr>
    <w:rPr>
      <w:color w:val="70AD47" w:themeColor="accent6"/>
    </w:rPr>
  </w:style>
  <w:style w:type="paragraph" w:styleId="Zhlav">
    <w:name w:val="header"/>
    <w:basedOn w:val="Normln"/>
    <w:link w:val="ZhlavChar"/>
    <w:uiPriority w:val="99"/>
    <w:unhideWhenUsed/>
    <w:rsid w:val="00C02F6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02F63"/>
  </w:style>
  <w:style w:type="paragraph" w:styleId="Zpat">
    <w:name w:val="footer"/>
    <w:basedOn w:val="Normln"/>
    <w:link w:val="ZpatChar"/>
    <w:uiPriority w:val="99"/>
    <w:unhideWhenUsed/>
    <w:rsid w:val="00C02F63"/>
    <w:pPr>
      <w:tabs>
        <w:tab w:val="center" w:pos="4536"/>
        <w:tab w:val="right" w:pos="9072"/>
      </w:tabs>
      <w:spacing w:after="0" w:line="240" w:lineRule="auto"/>
    </w:pPr>
  </w:style>
  <w:style w:type="character" w:customStyle="1" w:styleId="ZpatChar">
    <w:name w:val="Zápatí Char"/>
    <w:basedOn w:val="Standardnpsmoodstavce"/>
    <w:link w:val="Zpat"/>
    <w:uiPriority w:val="99"/>
    <w:rsid w:val="00C02F63"/>
  </w:style>
  <w:style w:type="character" w:styleId="Hypertextovodkaz">
    <w:name w:val="Hyperlink"/>
    <w:basedOn w:val="Standardnpsmoodstavce"/>
    <w:uiPriority w:val="99"/>
    <w:unhideWhenUsed/>
    <w:rsid w:val="006721AA"/>
    <w:rPr>
      <w:color w:val="0563C1" w:themeColor="hyperlink"/>
      <w:u w:val="single"/>
    </w:rPr>
  </w:style>
  <w:style w:type="character" w:styleId="Nevyeenzmnka">
    <w:name w:val="Unresolved Mention"/>
    <w:basedOn w:val="Standardnpsmoodstavce"/>
    <w:uiPriority w:val="99"/>
    <w:semiHidden/>
    <w:unhideWhenUsed/>
    <w:rsid w:val="00672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ec.eu"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1061</Words>
  <Characters>6266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2</cp:revision>
  <dcterms:created xsi:type="dcterms:W3CDTF">2021-11-03T09:27:00Z</dcterms:created>
  <dcterms:modified xsi:type="dcterms:W3CDTF">2021-11-09T11:37:00Z</dcterms:modified>
</cp:coreProperties>
</file>