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57E6" w14:textId="5B99991E" w:rsidR="00DA03B5" w:rsidRPr="00DA03B5" w:rsidRDefault="00DA03B5" w:rsidP="00DA03B5">
      <w:pPr>
        <w:jc w:val="center"/>
        <w:rPr>
          <w:rFonts w:asciiTheme="majorHAnsi" w:hAnsiTheme="majorHAnsi" w:cstheme="majorHAnsi"/>
          <w:b/>
          <w:bCs/>
          <w:sz w:val="36"/>
          <w:szCs w:val="36"/>
        </w:rPr>
      </w:pPr>
      <w:r w:rsidRPr="00DA03B5">
        <w:rPr>
          <w:rFonts w:asciiTheme="majorHAnsi" w:hAnsiTheme="majorHAnsi" w:cstheme="majorHAnsi"/>
          <w:b/>
          <w:bCs/>
          <w:sz w:val="36"/>
          <w:szCs w:val="36"/>
        </w:rPr>
        <w:t>K podpoře stavebnictví by vedlo, kdyby nová vláda pokračovala v rozpracovaných projektech</w:t>
      </w:r>
    </w:p>
    <w:p w14:paraId="75F015FA" w14:textId="77777777" w:rsidR="00DA03B5" w:rsidRDefault="00DA03B5" w:rsidP="001F0865">
      <w:pPr>
        <w:ind w:left="4245" w:hanging="4245"/>
        <w:rPr>
          <w:highlight w:val="red"/>
        </w:rPr>
      </w:pPr>
    </w:p>
    <w:p w14:paraId="46C58748" w14:textId="1CCFC563" w:rsidR="001F0865" w:rsidRPr="00DA03B5" w:rsidRDefault="00DA03B5" w:rsidP="00DA03B5">
      <w:pPr>
        <w:spacing w:after="0" w:line="360" w:lineRule="auto"/>
        <w:jc w:val="both"/>
        <w:rPr>
          <w:rFonts w:asciiTheme="majorHAnsi" w:hAnsiTheme="majorHAnsi" w:cstheme="majorHAnsi"/>
          <w:b/>
          <w:bCs/>
        </w:rPr>
      </w:pPr>
      <w:r>
        <w:rPr>
          <w:rFonts w:asciiTheme="majorHAnsi" w:hAnsiTheme="majorHAnsi" w:cstheme="majorHAnsi"/>
          <w:b/>
          <w:bCs/>
        </w:rPr>
        <w:t xml:space="preserve">Praha 30.11.2021 - </w:t>
      </w:r>
      <w:r w:rsidR="001F0865" w:rsidRPr="00DA03B5">
        <w:rPr>
          <w:rFonts w:asciiTheme="majorHAnsi" w:hAnsiTheme="majorHAnsi" w:cstheme="majorHAnsi"/>
          <w:b/>
          <w:bCs/>
        </w:rPr>
        <w:t>Podle více jak poloviny dotázaných ovlivní volby do poslanecké sněmovny české stavebnictví pouze z části. Zdali nová vláda ovlivní stavebnictví pozitivní či negativně rozděluje stavební společnosti do dvou stejných táborů. Většina stavebních společností neočekává vyšší investice nové vlády do výstavby. Stavebnictví by nejvíce pomohlo, kdyby nová vláda pokračovala v rozpracovaných projektech. Nová vláda by se měla zaměřit na výstavbu dostupného bydlení.</w:t>
      </w:r>
      <w:r w:rsidRPr="00DA03B5">
        <w:rPr>
          <w:rFonts w:asciiTheme="majorHAnsi" w:hAnsiTheme="majorHAnsi" w:cstheme="majorHAnsi"/>
          <w:b/>
          <w:bCs/>
        </w:rPr>
        <w:t xml:space="preserve"> Vyplývá to z Kvartální analýzy českého stavebnictví Q4/2021 zpracované analytickou společností CEEC Research s.r.o. za podpory společnosti </w:t>
      </w:r>
      <w:proofErr w:type="spellStart"/>
      <w:r w:rsidRPr="00DA03B5">
        <w:rPr>
          <w:rFonts w:asciiTheme="majorHAnsi" w:hAnsiTheme="majorHAnsi" w:cstheme="majorHAnsi"/>
          <w:b/>
          <w:bCs/>
        </w:rPr>
        <w:t>Central</w:t>
      </w:r>
      <w:proofErr w:type="spellEnd"/>
      <w:r w:rsidRPr="00DA03B5">
        <w:rPr>
          <w:rFonts w:asciiTheme="majorHAnsi" w:hAnsiTheme="majorHAnsi" w:cstheme="majorHAnsi"/>
          <w:b/>
          <w:bCs/>
        </w:rPr>
        <w:t xml:space="preserve"> Group a.s.</w:t>
      </w:r>
    </w:p>
    <w:p w14:paraId="0951EF5D" w14:textId="77777777" w:rsidR="00DA03B5" w:rsidRDefault="00DA03B5" w:rsidP="00DA03B5">
      <w:pPr>
        <w:autoSpaceDE w:val="0"/>
        <w:autoSpaceDN w:val="0"/>
        <w:adjustRightInd w:val="0"/>
        <w:spacing w:after="0" w:line="360" w:lineRule="auto"/>
        <w:jc w:val="both"/>
        <w:rPr>
          <w:lang w:eastAsia="cs-CZ"/>
        </w:rPr>
      </w:pPr>
    </w:p>
    <w:p w14:paraId="45AC0A79" w14:textId="77777777" w:rsidR="00DA03B5" w:rsidRDefault="001F0865" w:rsidP="00DA03B5">
      <w:pPr>
        <w:autoSpaceDE w:val="0"/>
        <w:autoSpaceDN w:val="0"/>
        <w:adjustRightInd w:val="0"/>
        <w:spacing w:after="0" w:line="360" w:lineRule="auto"/>
        <w:jc w:val="both"/>
        <w:rPr>
          <w:rFonts w:asciiTheme="majorHAnsi" w:hAnsiTheme="majorHAnsi" w:cstheme="majorHAnsi"/>
        </w:rPr>
      </w:pPr>
      <w:r w:rsidRPr="00DA03B5">
        <w:rPr>
          <w:rFonts w:asciiTheme="majorHAnsi" w:hAnsiTheme="majorHAnsi" w:cstheme="majorHAnsi"/>
          <w:lang w:eastAsia="cs-CZ"/>
        </w:rPr>
        <w:t xml:space="preserve">Podle necelé čtvrtiny dotázaných ovlivní volby do poslanecké sněmovny 2021 české stavebnictví (23 %), podle více jak poloviny však bude tento vliv pouze částečný (54 %). Necelá čtvrtina se také domnívá, že vliv na stavebnictví tato situace mít nebude žádný (23 %). </w:t>
      </w:r>
      <w:r w:rsidR="00DA03B5">
        <w:rPr>
          <w:rFonts w:asciiTheme="majorHAnsi" w:hAnsiTheme="majorHAnsi" w:cstheme="majorHAnsi"/>
          <w:lang w:eastAsia="cs-CZ"/>
        </w:rPr>
        <w:t xml:space="preserve"> </w:t>
      </w:r>
      <w:r w:rsidR="00DA03B5">
        <w:rPr>
          <w:rFonts w:asciiTheme="majorHAnsi" w:hAnsiTheme="majorHAnsi" w:cstheme="majorHAnsi"/>
          <w:i/>
          <w:iCs/>
        </w:rPr>
        <w:t>„</w:t>
      </w:r>
      <w:r w:rsidR="00DA03B5" w:rsidRPr="00DA03B5">
        <w:rPr>
          <w:rFonts w:asciiTheme="majorHAnsi" w:hAnsiTheme="majorHAnsi" w:cstheme="majorHAnsi"/>
          <w:i/>
          <w:iCs/>
        </w:rPr>
        <w:t>Vliv voleb v může být zcela zásadní. Vznikající nová vláda totiž již avizovala,</w:t>
      </w:r>
      <w:r w:rsidR="00DA03B5">
        <w:rPr>
          <w:rFonts w:asciiTheme="majorHAnsi" w:hAnsiTheme="majorHAnsi" w:cstheme="majorHAnsi"/>
          <w:i/>
          <w:iCs/>
        </w:rPr>
        <w:t xml:space="preserve"> </w:t>
      </w:r>
      <w:r w:rsidR="00DA03B5" w:rsidRPr="00DA03B5">
        <w:rPr>
          <w:rFonts w:asciiTheme="majorHAnsi" w:hAnsiTheme="majorHAnsi" w:cstheme="majorHAnsi"/>
          <w:i/>
          <w:iCs/>
        </w:rPr>
        <w:t>že bude chtít upravit nedávno schválený nový stavební zákon. Ten sice</w:t>
      </w:r>
      <w:r w:rsidR="00DA03B5">
        <w:rPr>
          <w:rFonts w:asciiTheme="majorHAnsi" w:hAnsiTheme="majorHAnsi" w:cstheme="majorHAnsi"/>
          <w:i/>
          <w:iCs/>
        </w:rPr>
        <w:t xml:space="preserve"> </w:t>
      </w:r>
      <w:r w:rsidR="00DA03B5" w:rsidRPr="00DA03B5">
        <w:rPr>
          <w:rFonts w:asciiTheme="majorHAnsi" w:hAnsiTheme="majorHAnsi" w:cstheme="majorHAnsi"/>
          <w:i/>
          <w:iCs/>
        </w:rPr>
        <w:t>není dokonalý, ale je v něm mnoho pozitivních opatření pro urychlení</w:t>
      </w:r>
      <w:r w:rsidR="00DA03B5">
        <w:rPr>
          <w:rFonts w:asciiTheme="majorHAnsi" w:hAnsiTheme="majorHAnsi" w:cstheme="majorHAnsi"/>
          <w:i/>
          <w:iCs/>
        </w:rPr>
        <w:t xml:space="preserve"> </w:t>
      </w:r>
      <w:r w:rsidR="00DA03B5" w:rsidRPr="00DA03B5">
        <w:rPr>
          <w:rFonts w:asciiTheme="majorHAnsi" w:hAnsiTheme="majorHAnsi" w:cstheme="majorHAnsi"/>
          <w:i/>
          <w:iCs/>
        </w:rPr>
        <w:t>a zjednodušení povolování. Není ho proto potřeba zcela měnit, ale jen</w:t>
      </w:r>
      <w:r w:rsidR="00DA03B5">
        <w:rPr>
          <w:rFonts w:asciiTheme="majorHAnsi" w:hAnsiTheme="majorHAnsi" w:cstheme="majorHAnsi"/>
          <w:i/>
          <w:iCs/>
        </w:rPr>
        <w:t xml:space="preserve"> </w:t>
      </w:r>
      <w:r w:rsidR="00DA03B5" w:rsidRPr="00DA03B5">
        <w:rPr>
          <w:rFonts w:asciiTheme="majorHAnsi" w:hAnsiTheme="majorHAnsi" w:cstheme="majorHAnsi"/>
          <w:i/>
          <w:iCs/>
        </w:rPr>
        <w:t>upravit v některých sporných částech, zejména v oblasti územního</w:t>
      </w:r>
      <w:r w:rsidR="00DA03B5">
        <w:rPr>
          <w:rFonts w:asciiTheme="majorHAnsi" w:hAnsiTheme="majorHAnsi" w:cstheme="majorHAnsi"/>
          <w:i/>
          <w:iCs/>
        </w:rPr>
        <w:t xml:space="preserve"> </w:t>
      </w:r>
      <w:r w:rsidR="00DA03B5" w:rsidRPr="00DA03B5">
        <w:rPr>
          <w:rFonts w:asciiTheme="majorHAnsi" w:hAnsiTheme="majorHAnsi" w:cstheme="majorHAnsi"/>
          <w:i/>
          <w:iCs/>
        </w:rPr>
        <w:t>plánování a posílení role samospráv, a tyto úpravy co nejdříve schválit,</w:t>
      </w:r>
      <w:r w:rsidR="00DA03B5">
        <w:rPr>
          <w:rFonts w:asciiTheme="majorHAnsi" w:hAnsiTheme="majorHAnsi" w:cstheme="majorHAnsi"/>
          <w:i/>
          <w:iCs/>
        </w:rPr>
        <w:t xml:space="preserve"> </w:t>
      </w:r>
      <w:r w:rsidR="00DA03B5" w:rsidRPr="00DA03B5">
        <w:rPr>
          <w:rFonts w:asciiTheme="majorHAnsi" w:hAnsiTheme="majorHAnsi" w:cstheme="majorHAnsi"/>
          <w:i/>
          <w:iCs/>
        </w:rPr>
        <w:t>aby se jeho účinnost neodkládala o více než půl roku. Nový stavební</w:t>
      </w:r>
      <w:r w:rsidR="00DA03B5">
        <w:rPr>
          <w:rFonts w:asciiTheme="majorHAnsi" w:hAnsiTheme="majorHAnsi" w:cstheme="majorHAnsi"/>
          <w:i/>
          <w:iCs/>
        </w:rPr>
        <w:t xml:space="preserve"> </w:t>
      </w:r>
      <w:r w:rsidR="00DA03B5" w:rsidRPr="00DA03B5">
        <w:rPr>
          <w:rFonts w:asciiTheme="majorHAnsi" w:hAnsiTheme="majorHAnsi" w:cstheme="majorHAnsi"/>
          <w:i/>
          <w:iCs/>
        </w:rPr>
        <w:t>zákon je pro další rozvoj ČR zcela nezbytný a jeho delší odklad by</w:t>
      </w:r>
      <w:r w:rsidR="00DA03B5">
        <w:rPr>
          <w:rFonts w:asciiTheme="majorHAnsi" w:hAnsiTheme="majorHAnsi" w:cstheme="majorHAnsi"/>
          <w:i/>
          <w:iCs/>
        </w:rPr>
        <w:t xml:space="preserve"> </w:t>
      </w:r>
      <w:r w:rsidR="00DA03B5" w:rsidRPr="00DA03B5">
        <w:rPr>
          <w:rFonts w:asciiTheme="majorHAnsi" w:hAnsiTheme="majorHAnsi" w:cstheme="majorHAnsi"/>
          <w:i/>
          <w:iCs/>
        </w:rPr>
        <w:t>měl obrovské ekonomické důsledky. Ani sebelepší stavební zákon ale</w:t>
      </w:r>
      <w:r w:rsidR="00DA03B5">
        <w:rPr>
          <w:rFonts w:asciiTheme="majorHAnsi" w:hAnsiTheme="majorHAnsi" w:cstheme="majorHAnsi"/>
          <w:i/>
          <w:iCs/>
        </w:rPr>
        <w:t xml:space="preserve"> </w:t>
      </w:r>
      <w:r w:rsidR="00DA03B5" w:rsidRPr="00DA03B5">
        <w:rPr>
          <w:rFonts w:asciiTheme="majorHAnsi" w:hAnsiTheme="majorHAnsi" w:cstheme="majorHAnsi"/>
          <w:i/>
          <w:iCs/>
        </w:rPr>
        <w:t>nebude stačit, pokud města a obce, kde se staví, nebudou od státu</w:t>
      </w:r>
      <w:r w:rsidR="00DA03B5">
        <w:rPr>
          <w:rFonts w:asciiTheme="majorHAnsi" w:hAnsiTheme="majorHAnsi" w:cstheme="majorHAnsi"/>
          <w:i/>
          <w:iCs/>
        </w:rPr>
        <w:t xml:space="preserve"> </w:t>
      </w:r>
      <w:r w:rsidR="00DA03B5" w:rsidRPr="00DA03B5">
        <w:rPr>
          <w:rFonts w:asciiTheme="majorHAnsi" w:hAnsiTheme="majorHAnsi" w:cstheme="majorHAnsi"/>
          <w:i/>
          <w:iCs/>
        </w:rPr>
        <w:t>získávat výrazně více peněz na veřejnou infrastrukturu. Bez toho se</w:t>
      </w:r>
      <w:r w:rsidR="00DA03B5">
        <w:rPr>
          <w:rFonts w:asciiTheme="majorHAnsi" w:hAnsiTheme="majorHAnsi" w:cstheme="majorHAnsi"/>
          <w:i/>
          <w:iCs/>
        </w:rPr>
        <w:t xml:space="preserve"> </w:t>
      </w:r>
      <w:r w:rsidR="00DA03B5" w:rsidRPr="00DA03B5">
        <w:rPr>
          <w:rFonts w:asciiTheme="majorHAnsi" w:hAnsiTheme="majorHAnsi" w:cstheme="majorHAnsi"/>
          <w:i/>
          <w:iCs/>
        </w:rPr>
        <w:t>totiž budou</w:t>
      </w:r>
      <w:r w:rsidR="00DA03B5">
        <w:rPr>
          <w:rFonts w:asciiTheme="majorHAnsi" w:hAnsiTheme="majorHAnsi" w:cstheme="majorHAnsi"/>
          <w:i/>
          <w:iCs/>
        </w:rPr>
        <w:t xml:space="preserve"> </w:t>
      </w:r>
      <w:r w:rsidR="00DA03B5" w:rsidRPr="00DA03B5">
        <w:rPr>
          <w:rFonts w:asciiTheme="majorHAnsi" w:hAnsiTheme="majorHAnsi" w:cstheme="majorHAnsi"/>
          <w:i/>
          <w:iCs/>
        </w:rPr>
        <w:t xml:space="preserve">nové výstavbě i nadále bránit.“ </w:t>
      </w:r>
      <w:r w:rsidR="00DA03B5" w:rsidRPr="00DA03B5">
        <w:rPr>
          <w:rFonts w:asciiTheme="majorHAnsi" w:hAnsiTheme="majorHAnsi" w:cstheme="majorHAnsi"/>
        </w:rPr>
        <w:t xml:space="preserve">uvádí </w:t>
      </w:r>
      <w:r w:rsidR="00DA03B5" w:rsidRPr="00DA03B5">
        <w:rPr>
          <w:rFonts w:asciiTheme="majorHAnsi" w:hAnsiTheme="majorHAnsi" w:cstheme="majorHAnsi"/>
          <w:i/>
          <w:iCs/>
        </w:rPr>
        <w:t xml:space="preserve"> </w:t>
      </w:r>
      <w:r w:rsidR="00DA03B5" w:rsidRPr="00DA03B5">
        <w:rPr>
          <w:rFonts w:asciiTheme="majorHAnsi" w:hAnsiTheme="majorHAnsi" w:cstheme="majorHAnsi"/>
          <w:b/>
          <w:bCs/>
        </w:rPr>
        <w:t>Dušan Kunovský</w:t>
      </w:r>
      <w:r w:rsidR="00DA03B5">
        <w:rPr>
          <w:rFonts w:asciiTheme="majorHAnsi" w:hAnsiTheme="majorHAnsi" w:cstheme="majorHAnsi"/>
          <w:b/>
          <w:bCs/>
        </w:rPr>
        <w:t xml:space="preserve">, </w:t>
      </w:r>
      <w:r w:rsidR="00DA03B5" w:rsidRPr="00DA03B5">
        <w:rPr>
          <w:rFonts w:asciiTheme="majorHAnsi" w:hAnsiTheme="majorHAnsi" w:cstheme="majorHAnsi"/>
          <w:b/>
          <w:bCs/>
        </w:rPr>
        <w:t xml:space="preserve">předseda představenstva společnosti </w:t>
      </w:r>
      <w:proofErr w:type="spellStart"/>
      <w:r w:rsidR="00DA03B5" w:rsidRPr="00DA03B5">
        <w:rPr>
          <w:rFonts w:asciiTheme="majorHAnsi" w:hAnsiTheme="majorHAnsi" w:cstheme="majorHAnsi"/>
          <w:b/>
          <w:bCs/>
        </w:rPr>
        <w:t>Central</w:t>
      </w:r>
      <w:proofErr w:type="spellEnd"/>
      <w:r w:rsidR="00DA03B5" w:rsidRPr="00DA03B5">
        <w:rPr>
          <w:rFonts w:asciiTheme="majorHAnsi" w:hAnsiTheme="majorHAnsi" w:cstheme="majorHAnsi"/>
          <w:b/>
          <w:bCs/>
        </w:rPr>
        <w:t xml:space="preserve"> Group a.s.</w:t>
      </w:r>
      <w:r w:rsidR="00DA03B5">
        <w:rPr>
          <w:rFonts w:asciiTheme="majorHAnsi" w:hAnsiTheme="majorHAnsi" w:cstheme="majorHAnsi"/>
          <w:b/>
          <w:bCs/>
        </w:rPr>
        <w:t xml:space="preserve"> </w:t>
      </w:r>
      <w:r w:rsidR="00DA03B5" w:rsidRPr="00DA03B5">
        <w:rPr>
          <w:rFonts w:asciiTheme="majorHAnsi" w:hAnsiTheme="majorHAnsi" w:cstheme="majorHAnsi"/>
        </w:rPr>
        <w:t>jeden ze zásadních vlivů na české stavebnictví</w:t>
      </w:r>
      <w:r w:rsidR="00DA03B5">
        <w:rPr>
          <w:rFonts w:asciiTheme="majorHAnsi" w:hAnsiTheme="majorHAnsi" w:cstheme="majorHAnsi"/>
        </w:rPr>
        <w:t>.</w:t>
      </w:r>
    </w:p>
    <w:p w14:paraId="1DD1A1EC" w14:textId="4BCE5552" w:rsidR="001F0865" w:rsidRPr="00DA03B5" w:rsidRDefault="00DA03B5" w:rsidP="00DA03B5">
      <w:pPr>
        <w:autoSpaceDE w:val="0"/>
        <w:autoSpaceDN w:val="0"/>
        <w:adjustRightInd w:val="0"/>
        <w:spacing w:after="0" w:line="360" w:lineRule="auto"/>
        <w:jc w:val="both"/>
        <w:rPr>
          <w:rFonts w:asciiTheme="majorHAnsi" w:hAnsiTheme="majorHAnsi" w:cstheme="majorHAnsi"/>
          <w:i/>
          <w:iCs/>
        </w:rPr>
      </w:pPr>
      <w:r>
        <w:rPr>
          <w:noProof/>
        </w:rPr>
        <w:lastRenderedPageBreak/>
        <w:drawing>
          <wp:anchor distT="0" distB="0" distL="114300" distR="114300" simplePos="0" relativeHeight="251658240" behindDoc="0" locked="0" layoutInCell="1" allowOverlap="1" wp14:anchorId="661D22C6" wp14:editId="067ED52C">
            <wp:simplePos x="0" y="0"/>
            <wp:positionH relativeFrom="margin">
              <wp:align>center</wp:align>
            </wp:positionH>
            <wp:positionV relativeFrom="paragraph">
              <wp:posOffset>0</wp:posOffset>
            </wp:positionV>
            <wp:extent cx="4352925" cy="3171825"/>
            <wp:effectExtent l="0" t="0" r="9525"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52925" cy="3171825"/>
                    </a:xfrm>
                    <a:prstGeom prst="rect">
                      <a:avLst/>
                    </a:prstGeom>
                  </pic:spPr>
                </pic:pic>
              </a:graphicData>
            </a:graphic>
          </wp:anchor>
        </w:drawing>
      </w:r>
    </w:p>
    <w:p w14:paraId="42D40B46" w14:textId="215F7DFA" w:rsidR="00DA03B5" w:rsidRPr="00DA03B5" w:rsidRDefault="001F0865" w:rsidP="00DA03B5">
      <w:pPr>
        <w:autoSpaceDE w:val="0"/>
        <w:autoSpaceDN w:val="0"/>
        <w:adjustRightInd w:val="0"/>
        <w:spacing w:after="0" w:line="360" w:lineRule="auto"/>
        <w:jc w:val="both"/>
        <w:rPr>
          <w:rFonts w:asciiTheme="majorHAnsi" w:hAnsiTheme="majorHAnsi" w:cstheme="majorHAnsi"/>
          <w:i/>
          <w:iCs/>
          <w:color w:val="70AD47" w:themeColor="accent6"/>
        </w:rPr>
      </w:pPr>
      <w:r w:rsidRPr="00DA03B5">
        <w:rPr>
          <w:rFonts w:asciiTheme="majorHAnsi" w:hAnsiTheme="majorHAnsi" w:cstheme="majorHAnsi"/>
        </w:rPr>
        <w:t xml:space="preserve">Polovina dotázaných se domnívá, že nová vláda ovlivní stavebnictví pozitivně (50 %) a shodný díl stavebních společností se naopak domnívá, že tento </w:t>
      </w:r>
      <w:r w:rsidR="00DA03B5">
        <w:rPr>
          <w:rFonts w:asciiTheme="majorHAnsi" w:hAnsiTheme="majorHAnsi" w:cstheme="majorHAnsi"/>
          <w:i/>
          <w:iCs/>
          <w:color w:val="70AD47" w:themeColor="accent6"/>
        </w:rPr>
        <w:t xml:space="preserve"> </w:t>
      </w:r>
      <w:r w:rsidRPr="00DA03B5">
        <w:rPr>
          <w:rFonts w:asciiTheme="majorHAnsi" w:hAnsiTheme="majorHAnsi" w:cstheme="majorHAnsi"/>
        </w:rPr>
        <w:t xml:space="preserve">vliv bude spíše negativní (50 %). </w:t>
      </w:r>
      <w:r w:rsidR="00DA03B5" w:rsidRPr="00DA03B5">
        <w:rPr>
          <w:rFonts w:asciiTheme="majorHAnsi" w:hAnsiTheme="majorHAnsi" w:cstheme="majorHAnsi"/>
          <w:i/>
          <w:iCs/>
        </w:rPr>
        <w:t>„Tradičně podzimní termín voleb bude mít bohužel tradičně neblahý</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vliv na schvalování státního rozpočtu, kdy se nová sněmovna začne</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zabývat návrhem dosluhující vlády až na sklonku roku. Doufejme, že</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rozpočtové provizorium nebude dlouhé.</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Pokud jde o dlouhodobější dopad výsledků voleb, věřím, že nová vláda</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nebude mít tendenci razantně překopávat investiční priority a že tedy</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stavebnictví nečeká příliš dlouhé období nejistoty. Veřejné zakázky</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totiž budou hrát výraznou roli, až se v příštím roce bude hrát o to, jak</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moc či málo se stavebnictví propadne v souvislosti s dopady covidu.</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Nedobrým příkladem toho, jak může povolební vývoj otřást stavebním</w:t>
      </w:r>
      <w:r w:rsidR="00DA03B5">
        <w:rPr>
          <w:rFonts w:asciiTheme="majorHAnsi" w:hAnsiTheme="majorHAnsi" w:cstheme="majorHAnsi"/>
          <w:i/>
          <w:iCs/>
          <w:color w:val="70AD47" w:themeColor="accent6"/>
        </w:rPr>
        <w:t xml:space="preserve"> </w:t>
      </w:r>
      <w:r w:rsidR="00DA03B5" w:rsidRPr="00DA03B5">
        <w:rPr>
          <w:rFonts w:asciiTheme="majorHAnsi" w:hAnsiTheme="majorHAnsi" w:cstheme="majorHAnsi"/>
          <w:i/>
          <w:iCs/>
        </w:rPr>
        <w:t>sektorem je pro mě Slovensko, kde se veřejné zakázky propadly o 70 %.</w:t>
      </w:r>
    </w:p>
    <w:p w14:paraId="6ED54DA0" w14:textId="33B0ED12" w:rsidR="001F0865" w:rsidRPr="00DA03B5" w:rsidRDefault="00DA03B5" w:rsidP="00DA03B5">
      <w:pPr>
        <w:autoSpaceDE w:val="0"/>
        <w:autoSpaceDN w:val="0"/>
        <w:adjustRightInd w:val="0"/>
        <w:spacing w:after="0" w:line="360" w:lineRule="auto"/>
        <w:jc w:val="both"/>
        <w:rPr>
          <w:rFonts w:asciiTheme="majorHAnsi" w:hAnsiTheme="majorHAnsi" w:cstheme="majorHAnsi"/>
          <w:i/>
          <w:iCs/>
        </w:rPr>
      </w:pPr>
      <w:r w:rsidRPr="00DA03B5">
        <w:rPr>
          <w:rFonts w:asciiTheme="majorHAnsi" w:hAnsiTheme="majorHAnsi" w:cstheme="majorHAnsi"/>
          <w:i/>
          <w:iCs/>
        </w:rPr>
        <w:t>Věřím, že touto cestou se zde nevydáme.</w:t>
      </w:r>
      <w:r>
        <w:rPr>
          <w:rFonts w:asciiTheme="majorHAnsi" w:hAnsiTheme="majorHAnsi" w:cstheme="majorHAnsi"/>
          <w:i/>
          <w:iCs/>
        </w:rPr>
        <w:t xml:space="preserve"> </w:t>
      </w:r>
      <w:r w:rsidRPr="00DA03B5">
        <w:rPr>
          <w:rFonts w:asciiTheme="majorHAnsi" w:hAnsiTheme="majorHAnsi" w:cstheme="majorHAnsi"/>
          <w:i/>
          <w:iCs/>
        </w:rPr>
        <w:t>Naopak vítám, že koaliční smlouva pravděpodobné vládní koalice</w:t>
      </w:r>
      <w:r>
        <w:rPr>
          <w:rFonts w:asciiTheme="majorHAnsi" w:hAnsiTheme="majorHAnsi" w:cstheme="majorHAnsi"/>
          <w:i/>
          <w:iCs/>
        </w:rPr>
        <w:t xml:space="preserve"> </w:t>
      </w:r>
      <w:r w:rsidRPr="00DA03B5">
        <w:rPr>
          <w:rFonts w:asciiTheme="majorHAnsi" w:hAnsiTheme="majorHAnsi" w:cstheme="majorHAnsi"/>
          <w:i/>
          <w:iCs/>
        </w:rPr>
        <w:t>zahrnuje i priority v oblasti dopravy. Ačkoliv se obávám, že na situaci</w:t>
      </w:r>
      <w:r>
        <w:rPr>
          <w:rFonts w:asciiTheme="majorHAnsi" w:hAnsiTheme="majorHAnsi" w:cstheme="majorHAnsi"/>
          <w:i/>
          <w:iCs/>
        </w:rPr>
        <w:t xml:space="preserve"> </w:t>
      </w:r>
      <w:r w:rsidRPr="00DA03B5">
        <w:rPr>
          <w:rFonts w:asciiTheme="majorHAnsi" w:hAnsiTheme="majorHAnsi" w:cstheme="majorHAnsi"/>
          <w:i/>
          <w:iCs/>
        </w:rPr>
        <w:t>hledí poněkud růžovými brýlemi a řada plánů narazí na překážky,</w:t>
      </w:r>
      <w:r>
        <w:rPr>
          <w:rFonts w:asciiTheme="majorHAnsi" w:hAnsiTheme="majorHAnsi" w:cstheme="majorHAnsi"/>
          <w:i/>
          <w:iCs/>
        </w:rPr>
        <w:t xml:space="preserve"> </w:t>
      </w:r>
      <w:r w:rsidRPr="00DA03B5">
        <w:rPr>
          <w:rFonts w:asciiTheme="majorHAnsi" w:hAnsiTheme="majorHAnsi" w:cstheme="majorHAnsi"/>
          <w:i/>
          <w:iCs/>
        </w:rPr>
        <w:t xml:space="preserve">které není možné odstranit mávnutím kouzelného proutku.“ </w:t>
      </w:r>
      <w:r w:rsidRPr="00DA03B5">
        <w:rPr>
          <w:rFonts w:asciiTheme="majorHAnsi" w:hAnsiTheme="majorHAnsi" w:cstheme="majorHAnsi"/>
        </w:rPr>
        <w:t xml:space="preserve">popisuje </w:t>
      </w:r>
      <w:r w:rsidRPr="00DA03B5">
        <w:rPr>
          <w:rFonts w:asciiTheme="majorHAnsi" w:hAnsiTheme="majorHAnsi" w:cstheme="majorHAnsi"/>
          <w:b/>
          <w:bCs/>
        </w:rPr>
        <w:t>Ondřej Novák, předseda představenstva společnosti STRABAG a.s.</w:t>
      </w:r>
      <w:bookmarkStart w:id="0" w:name="_Hlk86220966"/>
    </w:p>
    <w:bookmarkEnd w:id="0"/>
    <w:p w14:paraId="080FE94A" w14:textId="77777777" w:rsidR="001F0865" w:rsidRDefault="001F0865" w:rsidP="001F0865">
      <w:pPr>
        <w:pStyle w:val="Bezmezer"/>
      </w:pPr>
    </w:p>
    <w:p w14:paraId="2BFA688A" w14:textId="16E7184B" w:rsidR="00DA03B5" w:rsidRDefault="00DA03B5" w:rsidP="00DA03B5">
      <w:pPr>
        <w:pStyle w:val="Bezmezer"/>
        <w:rPr>
          <w:rFonts w:ascii="SourceSansVariable-Italic" w:hAnsi="SourceSansVariable-Italic" w:cs="SourceSansVariable-Italic"/>
          <w:i/>
          <w:iCs/>
          <w:sz w:val="16"/>
          <w:szCs w:val="16"/>
        </w:rPr>
      </w:pPr>
      <w:r>
        <w:rPr>
          <w:noProof/>
        </w:rPr>
        <w:lastRenderedPageBreak/>
        <w:drawing>
          <wp:anchor distT="0" distB="0" distL="114300" distR="114300" simplePos="0" relativeHeight="251659264" behindDoc="0" locked="0" layoutInCell="1" allowOverlap="1" wp14:anchorId="3A9BB071" wp14:editId="63C273BB">
            <wp:simplePos x="0" y="0"/>
            <wp:positionH relativeFrom="margin">
              <wp:align>center</wp:align>
            </wp:positionH>
            <wp:positionV relativeFrom="paragraph">
              <wp:posOffset>0</wp:posOffset>
            </wp:positionV>
            <wp:extent cx="4324350" cy="30861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24350" cy="3086100"/>
                    </a:xfrm>
                    <a:prstGeom prst="rect">
                      <a:avLst/>
                    </a:prstGeom>
                  </pic:spPr>
                </pic:pic>
              </a:graphicData>
            </a:graphic>
          </wp:anchor>
        </w:drawing>
      </w:r>
    </w:p>
    <w:p w14:paraId="594D5C21" w14:textId="77777777" w:rsidR="00DA03B5" w:rsidRDefault="00DA03B5" w:rsidP="00DA03B5">
      <w:pPr>
        <w:pStyle w:val="Bezmezer"/>
        <w:rPr>
          <w:rFonts w:ascii="SourceSansVariable-Italic" w:hAnsi="SourceSansVariable-Italic" w:cs="SourceSansVariable-Italic"/>
          <w:i/>
          <w:iCs/>
          <w:color w:val="000000"/>
          <w:sz w:val="16"/>
          <w:szCs w:val="16"/>
        </w:rPr>
      </w:pPr>
    </w:p>
    <w:p w14:paraId="2CFEF06C" w14:textId="3CA868E0" w:rsidR="00DA03B5" w:rsidRPr="00DA03B5" w:rsidRDefault="00DA03B5" w:rsidP="00DA03B5">
      <w:pPr>
        <w:autoSpaceDE w:val="0"/>
        <w:autoSpaceDN w:val="0"/>
        <w:adjustRightInd w:val="0"/>
        <w:spacing w:after="0" w:line="360" w:lineRule="auto"/>
        <w:jc w:val="both"/>
        <w:rPr>
          <w:rFonts w:asciiTheme="majorHAnsi" w:hAnsiTheme="majorHAnsi" w:cstheme="majorHAnsi"/>
          <w:b/>
          <w:bCs/>
        </w:rPr>
      </w:pPr>
      <w:r>
        <w:rPr>
          <w:noProof/>
        </w:rPr>
        <w:drawing>
          <wp:anchor distT="0" distB="0" distL="114300" distR="114300" simplePos="0" relativeHeight="251660288" behindDoc="0" locked="0" layoutInCell="1" allowOverlap="1" wp14:anchorId="241FA83C" wp14:editId="23CC26B4">
            <wp:simplePos x="0" y="0"/>
            <wp:positionH relativeFrom="margin">
              <wp:align>center</wp:align>
            </wp:positionH>
            <wp:positionV relativeFrom="paragraph">
              <wp:posOffset>1918970</wp:posOffset>
            </wp:positionV>
            <wp:extent cx="4143375" cy="3124200"/>
            <wp:effectExtent l="0" t="0" r="9525"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43375" cy="3124200"/>
                    </a:xfrm>
                    <a:prstGeom prst="rect">
                      <a:avLst/>
                    </a:prstGeom>
                  </pic:spPr>
                </pic:pic>
              </a:graphicData>
            </a:graphic>
          </wp:anchor>
        </w:drawing>
      </w:r>
      <w:r w:rsidR="001F0865" w:rsidRPr="00DA03B5">
        <w:rPr>
          <w:rFonts w:asciiTheme="majorHAnsi" w:hAnsiTheme="majorHAnsi" w:cstheme="majorHAnsi"/>
        </w:rPr>
        <w:t xml:space="preserve">Většina dotázaných stavebních společností neočekává zvýšené investice nové vlády do výstavby (70 %). Pouze necelá třetina je opačného názoru a domnívá se, že by investice mohly naopak vzrůst (30 %). </w:t>
      </w:r>
      <w:r w:rsidRPr="00DA03B5">
        <w:rPr>
          <w:rFonts w:asciiTheme="majorHAnsi" w:hAnsiTheme="majorHAnsi" w:cstheme="majorHAnsi"/>
          <w:b/>
          <w:bCs/>
        </w:rPr>
        <w:t>Tomáš Koranda</w:t>
      </w:r>
      <w:r>
        <w:rPr>
          <w:rFonts w:asciiTheme="majorHAnsi" w:hAnsiTheme="majorHAnsi" w:cstheme="majorHAnsi"/>
          <w:b/>
          <w:bCs/>
        </w:rPr>
        <w:t xml:space="preserve">, </w:t>
      </w:r>
      <w:r w:rsidRPr="00DA03B5">
        <w:rPr>
          <w:rFonts w:asciiTheme="majorHAnsi" w:hAnsiTheme="majorHAnsi" w:cstheme="majorHAnsi"/>
          <w:b/>
          <w:bCs/>
        </w:rPr>
        <w:t>předseda představenstva a generální ředitel společnosti HOCHTIEF CZ a. s.</w:t>
      </w:r>
      <w:r w:rsidRPr="00DA03B5">
        <w:rPr>
          <w:rFonts w:asciiTheme="majorHAnsi" w:hAnsiTheme="majorHAnsi" w:cstheme="majorHAnsi"/>
        </w:rPr>
        <w:t xml:space="preserve"> vypichuje důležitost investic:</w:t>
      </w:r>
      <w:r w:rsidRPr="00DA03B5">
        <w:rPr>
          <w:rFonts w:asciiTheme="majorHAnsi" w:hAnsiTheme="majorHAnsi" w:cstheme="majorHAnsi"/>
          <w:i/>
          <w:iCs/>
        </w:rPr>
        <w:t xml:space="preserve"> „</w:t>
      </w:r>
      <w:r w:rsidRPr="00DA03B5">
        <w:rPr>
          <w:rFonts w:asciiTheme="majorHAnsi" w:hAnsiTheme="majorHAnsi" w:cstheme="majorHAnsi"/>
          <w:i/>
          <w:iCs/>
        </w:rPr>
        <w:t>Od nové vlády si slibuji především stabilní, předvídatelné a transparentní podnikatelské prostředí. Věřím, že deklarovaná podpora investiční politiky s</w:t>
      </w:r>
      <w:r>
        <w:rPr>
          <w:rFonts w:asciiTheme="majorHAnsi" w:hAnsiTheme="majorHAnsi" w:cstheme="majorHAnsi"/>
          <w:i/>
          <w:iCs/>
        </w:rPr>
        <w:t> </w:t>
      </w:r>
      <w:r w:rsidRPr="00DA03B5">
        <w:rPr>
          <w:rFonts w:asciiTheme="majorHAnsi" w:hAnsiTheme="majorHAnsi" w:cstheme="majorHAnsi"/>
          <w:i/>
          <w:iCs/>
        </w:rPr>
        <w:t>využitím</w:t>
      </w:r>
      <w:r>
        <w:rPr>
          <w:rFonts w:asciiTheme="majorHAnsi" w:hAnsiTheme="majorHAnsi" w:cstheme="majorHAnsi"/>
          <w:i/>
          <w:iCs/>
        </w:rPr>
        <w:t xml:space="preserve"> </w:t>
      </w:r>
      <w:r w:rsidRPr="00DA03B5">
        <w:rPr>
          <w:rFonts w:asciiTheme="majorHAnsi" w:hAnsiTheme="majorHAnsi" w:cstheme="majorHAnsi"/>
          <w:i/>
          <w:iCs/>
        </w:rPr>
        <w:t>EU fondů bude zahrnuta do vládního programu. Vláda by měla najít shodu na investiční strategii, a tím dlouhodobě podpořit celý český stavební průmysl.</w:t>
      </w:r>
      <w:r w:rsidRPr="00DA03B5">
        <w:rPr>
          <w:rFonts w:asciiTheme="majorHAnsi" w:hAnsiTheme="majorHAnsi" w:cstheme="majorHAnsi"/>
          <w:i/>
          <w:iCs/>
        </w:rPr>
        <w:t>“</w:t>
      </w:r>
    </w:p>
    <w:p w14:paraId="62E1F02A" w14:textId="77777777" w:rsidR="00DA03B5" w:rsidRDefault="001F0865" w:rsidP="00DA03B5">
      <w:pPr>
        <w:spacing w:line="360" w:lineRule="auto"/>
        <w:jc w:val="both"/>
        <w:rPr>
          <w:rFonts w:asciiTheme="majorHAnsi" w:hAnsiTheme="majorHAnsi" w:cstheme="majorHAnsi"/>
          <w:i/>
          <w:iCs/>
        </w:rPr>
      </w:pPr>
      <w:r w:rsidRPr="00DA03B5">
        <w:rPr>
          <w:rFonts w:asciiTheme="majorHAnsi" w:hAnsiTheme="majorHAnsi" w:cstheme="majorHAnsi"/>
        </w:rPr>
        <w:lastRenderedPageBreak/>
        <w:t xml:space="preserve">Podle dotázaných stavebních společností by stavebnictví nejvíce pomohlo, kdyby nová vláda pokračovala v rozpracovaných projektech (68 %). Stavebnictví by ale také pomohla lepší připravenost projektů veřejných zakázek (55 %), rychlé uvedení nového stavebního zákona do praxe (53 %) a větší spolupráce se stavebními firmami při tvorbě legislativy (46 %). Již menší část stavebních společností by se přiklání k zavedení hodnocení stavebních společností ucházejících se o veřejnou zakázku (23 %) anebo k jiným než výše uvedeným možnostem (7 %). </w:t>
      </w:r>
      <w:bookmarkStart w:id="1" w:name="_Hlk86221296"/>
      <w:r w:rsidR="00DA03B5" w:rsidRPr="00DA03B5">
        <w:rPr>
          <w:rFonts w:asciiTheme="majorHAnsi" w:hAnsiTheme="majorHAnsi" w:cstheme="majorHAnsi"/>
          <w:b/>
          <w:bCs/>
        </w:rPr>
        <w:t>Petr Stejskal</w:t>
      </w:r>
      <w:r w:rsidR="00DA03B5">
        <w:rPr>
          <w:rFonts w:asciiTheme="majorHAnsi" w:hAnsiTheme="majorHAnsi" w:cstheme="majorHAnsi"/>
          <w:b/>
          <w:bCs/>
        </w:rPr>
        <w:t xml:space="preserve">, </w:t>
      </w:r>
      <w:r w:rsidR="00DA03B5" w:rsidRPr="00DA03B5">
        <w:rPr>
          <w:rFonts w:asciiTheme="majorHAnsi" w:hAnsiTheme="majorHAnsi" w:cstheme="majorHAnsi"/>
          <w:b/>
          <w:bCs/>
        </w:rPr>
        <w:t>Business development společnosti HELUZ cihlářský průmysl v.o.s.</w:t>
      </w:r>
      <w:r w:rsidR="00DA03B5" w:rsidRPr="00DA03B5">
        <w:rPr>
          <w:rFonts w:asciiTheme="majorHAnsi" w:hAnsiTheme="majorHAnsi" w:cstheme="majorHAnsi"/>
        </w:rPr>
        <w:t xml:space="preserve"> </w:t>
      </w:r>
      <w:r w:rsidR="00DA03B5" w:rsidRPr="00DA03B5">
        <w:rPr>
          <w:rFonts w:asciiTheme="majorHAnsi" w:hAnsiTheme="majorHAnsi" w:cstheme="majorHAnsi"/>
          <w:color w:val="000000"/>
        </w:rPr>
        <w:t>uvádí, že existuje pravděpodobnost, že vláda bude v současných projektech pokračovat i nadále:</w:t>
      </w:r>
      <w:r w:rsidR="00DA03B5" w:rsidRPr="00DA03B5">
        <w:rPr>
          <w:rFonts w:asciiTheme="majorHAnsi" w:hAnsiTheme="majorHAnsi" w:cstheme="majorHAnsi"/>
          <w:i/>
          <w:iCs/>
          <w:color w:val="000000"/>
        </w:rPr>
        <w:t xml:space="preserve"> „</w:t>
      </w:r>
      <w:r w:rsidR="00DA03B5" w:rsidRPr="00DA03B5">
        <w:rPr>
          <w:rFonts w:asciiTheme="majorHAnsi" w:hAnsiTheme="majorHAnsi" w:cstheme="majorHAnsi"/>
          <w:i/>
          <w:iCs/>
        </w:rPr>
        <w:t>Podle volebních programů stran budoucí vládní koalice by stavební</w:t>
      </w:r>
      <w:r w:rsidR="00DA03B5">
        <w:rPr>
          <w:rFonts w:asciiTheme="majorHAnsi" w:hAnsiTheme="majorHAnsi" w:cstheme="majorHAnsi"/>
        </w:rPr>
        <w:t xml:space="preserve"> </w:t>
      </w:r>
      <w:r w:rsidR="00DA03B5" w:rsidRPr="00DA03B5">
        <w:rPr>
          <w:rFonts w:asciiTheme="majorHAnsi" w:hAnsiTheme="majorHAnsi" w:cstheme="majorHAnsi"/>
          <w:i/>
          <w:iCs/>
        </w:rPr>
        <w:t>sektor měl mít zelenou. Infrastrukturní stavby budou pokračovat</w:t>
      </w:r>
      <w:r w:rsidR="00DA03B5">
        <w:rPr>
          <w:rFonts w:asciiTheme="majorHAnsi" w:hAnsiTheme="majorHAnsi" w:cstheme="majorHAnsi"/>
        </w:rPr>
        <w:t xml:space="preserve"> </w:t>
      </w:r>
      <w:r w:rsidR="00DA03B5" w:rsidRPr="00DA03B5">
        <w:rPr>
          <w:rFonts w:asciiTheme="majorHAnsi" w:hAnsiTheme="majorHAnsi" w:cstheme="majorHAnsi"/>
          <w:i/>
          <w:iCs/>
        </w:rPr>
        <w:t>nejméně ve stejném tempu jako dosud a pokud budou realizovány</w:t>
      </w:r>
      <w:r w:rsidR="00DA03B5">
        <w:rPr>
          <w:rFonts w:asciiTheme="majorHAnsi" w:hAnsiTheme="majorHAnsi" w:cstheme="majorHAnsi"/>
        </w:rPr>
        <w:t xml:space="preserve"> </w:t>
      </w:r>
      <w:r w:rsidR="00DA03B5" w:rsidRPr="00DA03B5">
        <w:rPr>
          <w:rFonts w:asciiTheme="majorHAnsi" w:hAnsiTheme="majorHAnsi" w:cstheme="majorHAnsi"/>
          <w:i/>
          <w:iCs/>
        </w:rPr>
        <w:t>sliby o zlepšení bytové dostupnosti, ve které dlouhodobě patříme</w:t>
      </w:r>
      <w:r w:rsidR="00DA03B5">
        <w:rPr>
          <w:rFonts w:asciiTheme="majorHAnsi" w:hAnsiTheme="majorHAnsi" w:cstheme="majorHAnsi"/>
        </w:rPr>
        <w:t xml:space="preserve"> </w:t>
      </w:r>
      <w:r w:rsidR="00DA03B5" w:rsidRPr="00DA03B5">
        <w:rPr>
          <w:rFonts w:asciiTheme="majorHAnsi" w:hAnsiTheme="majorHAnsi" w:cstheme="majorHAnsi"/>
          <w:i/>
          <w:iCs/>
        </w:rPr>
        <w:t>k nejhorším v Evropě, musí se zvýšit jak komunální výstavba, tak</w:t>
      </w:r>
      <w:r w:rsidR="00DA03B5">
        <w:rPr>
          <w:rFonts w:asciiTheme="majorHAnsi" w:hAnsiTheme="majorHAnsi" w:cstheme="majorHAnsi"/>
        </w:rPr>
        <w:t xml:space="preserve"> </w:t>
      </w:r>
      <w:r w:rsidR="00DA03B5" w:rsidRPr="00DA03B5">
        <w:rPr>
          <w:rFonts w:asciiTheme="majorHAnsi" w:hAnsiTheme="majorHAnsi" w:cstheme="majorHAnsi"/>
          <w:i/>
          <w:iCs/>
        </w:rPr>
        <w:t>i podpora individuálním stavebníkům. Na straně legislativní nás</w:t>
      </w:r>
      <w:r w:rsidR="00DA03B5">
        <w:rPr>
          <w:rFonts w:asciiTheme="majorHAnsi" w:hAnsiTheme="majorHAnsi" w:cstheme="majorHAnsi"/>
        </w:rPr>
        <w:t xml:space="preserve"> </w:t>
      </w:r>
      <w:r w:rsidR="00DA03B5" w:rsidRPr="00DA03B5">
        <w:rPr>
          <w:rFonts w:asciiTheme="majorHAnsi" w:hAnsiTheme="majorHAnsi" w:cstheme="majorHAnsi"/>
          <w:i/>
          <w:iCs/>
        </w:rPr>
        <w:t xml:space="preserve">pravděpodobně čeká rekodifikace </w:t>
      </w:r>
      <w:proofErr w:type="spellStart"/>
      <w:r w:rsidR="00DA03B5" w:rsidRPr="00DA03B5">
        <w:rPr>
          <w:rFonts w:asciiTheme="majorHAnsi" w:hAnsiTheme="majorHAnsi" w:cstheme="majorHAnsi"/>
          <w:i/>
          <w:iCs/>
        </w:rPr>
        <w:t>rekod</w:t>
      </w:r>
      <w:r w:rsidR="00DA03B5">
        <w:rPr>
          <w:rFonts w:asciiTheme="majorHAnsi" w:hAnsiTheme="majorHAnsi" w:cstheme="majorHAnsi"/>
          <w:i/>
          <w:iCs/>
        </w:rPr>
        <w:t>i</w:t>
      </w:r>
      <w:r w:rsidR="00DA03B5" w:rsidRPr="00DA03B5">
        <w:rPr>
          <w:rFonts w:asciiTheme="majorHAnsi" w:hAnsiTheme="majorHAnsi" w:cstheme="majorHAnsi"/>
          <w:i/>
          <w:iCs/>
        </w:rPr>
        <w:t>fikovaného</w:t>
      </w:r>
      <w:proofErr w:type="spellEnd"/>
      <w:r w:rsidR="00DA03B5" w:rsidRPr="00DA03B5">
        <w:rPr>
          <w:rFonts w:asciiTheme="majorHAnsi" w:hAnsiTheme="majorHAnsi" w:cstheme="majorHAnsi"/>
          <w:i/>
          <w:iCs/>
        </w:rPr>
        <w:t xml:space="preserve"> stavebního</w:t>
      </w:r>
      <w:r w:rsidR="00DA03B5">
        <w:rPr>
          <w:rFonts w:asciiTheme="majorHAnsi" w:hAnsiTheme="majorHAnsi" w:cstheme="majorHAnsi"/>
        </w:rPr>
        <w:t xml:space="preserve"> </w:t>
      </w:r>
      <w:r w:rsidR="00DA03B5" w:rsidRPr="00DA03B5">
        <w:rPr>
          <w:rFonts w:asciiTheme="majorHAnsi" w:hAnsiTheme="majorHAnsi" w:cstheme="majorHAnsi"/>
          <w:i/>
          <w:iCs/>
        </w:rPr>
        <w:t>zákona, na straně financování by se měly objevit nové nebo staronové</w:t>
      </w:r>
      <w:r w:rsidR="00DA03B5">
        <w:rPr>
          <w:rFonts w:asciiTheme="majorHAnsi" w:hAnsiTheme="majorHAnsi" w:cstheme="majorHAnsi"/>
        </w:rPr>
        <w:t xml:space="preserve"> </w:t>
      </w:r>
      <w:r w:rsidR="00DA03B5" w:rsidRPr="00DA03B5">
        <w:rPr>
          <w:rFonts w:asciiTheme="majorHAnsi" w:hAnsiTheme="majorHAnsi" w:cstheme="majorHAnsi"/>
          <w:i/>
          <w:iCs/>
        </w:rPr>
        <w:t>formy podpory individuálních investorů. Je třeba si uvědomit, že právě</w:t>
      </w:r>
      <w:r w:rsidR="00DA03B5">
        <w:rPr>
          <w:rFonts w:asciiTheme="majorHAnsi" w:hAnsiTheme="majorHAnsi" w:cstheme="majorHAnsi"/>
        </w:rPr>
        <w:t xml:space="preserve"> </w:t>
      </w:r>
      <w:r w:rsidR="00DA03B5" w:rsidRPr="00DA03B5">
        <w:rPr>
          <w:rFonts w:asciiTheme="majorHAnsi" w:hAnsiTheme="majorHAnsi" w:cstheme="majorHAnsi"/>
          <w:i/>
          <w:iCs/>
        </w:rPr>
        <w:t>stavby budov mají nejvyšší multiplikační faktor, každá investovaná</w:t>
      </w:r>
      <w:r w:rsidR="00DA03B5">
        <w:rPr>
          <w:rFonts w:asciiTheme="majorHAnsi" w:hAnsiTheme="majorHAnsi" w:cstheme="majorHAnsi"/>
        </w:rPr>
        <w:t xml:space="preserve"> </w:t>
      </w:r>
      <w:r w:rsidR="00DA03B5" w:rsidRPr="00DA03B5">
        <w:rPr>
          <w:rFonts w:asciiTheme="majorHAnsi" w:hAnsiTheme="majorHAnsi" w:cstheme="majorHAnsi"/>
          <w:i/>
          <w:iCs/>
        </w:rPr>
        <w:t>koruna do hrubé stavby vyvolá další nejméně 2,5 koruny investic do</w:t>
      </w:r>
      <w:r w:rsidR="00DA03B5">
        <w:rPr>
          <w:rFonts w:asciiTheme="majorHAnsi" w:hAnsiTheme="majorHAnsi" w:cstheme="majorHAnsi"/>
        </w:rPr>
        <w:t xml:space="preserve"> </w:t>
      </w:r>
      <w:r w:rsidR="00DA03B5" w:rsidRPr="00DA03B5">
        <w:rPr>
          <w:rFonts w:asciiTheme="majorHAnsi" w:hAnsiTheme="majorHAnsi" w:cstheme="majorHAnsi"/>
          <w:i/>
          <w:iCs/>
        </w:rPr>
        <w:t>práce řemeslníků a do vybavení budov. Nesmíme zapomenou ani</w:t>
      </w:r>
      <w:r w:rsidR="00DA03B5">
        <w:rPr>
          <w:rFonts w:asciiTheme="majorHAnsi" w:hAnsiTheme="majorHAnsi" w:cstheme="majorHAnsi"/>
        </w:rPr>
        <w:t xml:space="preserve"> </w:t>
      </w:r>
      <w:r w:rsidR="00DA03B5" w:rsidRPr="00DA03B5">
        <w:rPr>
          <w:rFonts w:asciiTheme="majorHAnsi" w:hAnsiTheme="majorHAnsi" w:cstheme="majorHAnsi"/>
          <w:i/>
          <w:iCs/>
        </w:rPr>
        <w:t>na výzvy, které pro stavební obory představuje plnění cílů FIT F55</w:t>
      </w:r>
      <w:r w:rsidR="00DA03B5">
        <w:rPr>
          <w:rFonts w:asciiTheme="majorHAnsi" w:hAnsiTheme="majorHAnsi" w:cstheme="majorHAnsi"/>
        </w:rPr>
        <w:t xml:space="preserve"> </w:t>
      </w:r>
      <w:r w:rsidR="00DA03B5" w:rsidRPr="00DA03B5">
        <w:rPr>
          <w:rFonts w:asciiTheme="majorHAnsi" w:hAnsiTheme="majorHAnsi" w:cstheme="majorHAnsi"/>
          <w:i/>
          <w:iCs/>
        </w:rPr>
        <w:t>a renovační vlna. Pokud má nová vláda být úspěšná i pro stavbaře,</w:t>
      </w:r>
      <w:r w:rsidR="00DA03B5">
        <w:rPr>
          <w:rFonts w:asciiTheme="majorHAnsi" w:hAnsiTheme="majorHAnsi" w:cstheme="majorHAnsi"/>
        </w:rPr>
        <w:t xml:space="preserve"> </w:t>
      </w:r>
      <w:r w:rsidR="00DA03B5" w:rsidRPr="00DA03B5">
        <w:rPr>
          <w:rFonts w:asciiTheme="majorHAnsi" w:hAnsiTheme="majorHAnsi" w:cstheme="majorHAnsi"/>
          <w:i/>
          <w:iCs/>
        </w:rPr>
        <w:t>musí zohlednit, že kromě inženýrského stavitelství si vládní pozornost</w:t>
      </w:r>
      <w:r w:rsidR="00DA03B5">
        <w:rPr>
          <w:rFonts w:asciiTheme="majorHAnsi" w:hAnsiTheme="majorHAnsi" w:cstheme="majorHAnsi"/>
        </w:rPr>
        <w:t xml:space="preserve"> </w:t>
      </w:r>
      <w:r w:rsidR="00DA03B5" w:rsidRPr="00DA03B5">
        <w:rPr>
          <w:rFonts w:asciiTheme="majorHAnsi" w:hAnsiTheme="majorHAnsi" w:cstheme="majorHAnsi"/>
          <w:i/>
          <w:iCs/>
        </w:rPr>
        <w:t>zasluhuje i to pozemní, zejména bytová výstavba. A nezapomenout</w:t>
      </w:r>
      <w:r w:rsidR="00DA03B5">
        <w:rPr>
          <w:rFonts w:asciiTheme="majorHAnsi" w:hAnsiTheme="majorHAnsi" w:cstheme="majorHAnsi"/>
        </w:rPr>
        <w:t xml:space="preserve"> </w:t>
      </w:r>
      <w:r w:rsidR="00DA03B5" w:rsidRPr="00DA03B5">
        <w:rPr>
          <w:rFonts w:asciiTheme="majorHAnsi" w:hAnsiTheme="majorHAnsi" w:cstheme="majorHAnsi"/>
          <w:i/>
          <w:iCs/>
        </w:rPr>
        <w:t>na to, že pro stavění nejsou potřeba jen finance, projekty a stavební</w:t>
      </w:r>
      <w:r w:rsidR="00DA03B5">
        <w:rPr>
          <w:rFonts w:asciiTheme="majorHAnsi" w:hAnsiTheme="majorHAnsi" w:cstheme="majorHAnsi"/>
        </w:rPr>
        <w:t xml:space="preserve"> </w:t>
      </w:r>
      <w:r w:rsidR="00DA03B5" w:rsidRPr="00DA03B5">
        <w:rPr>
          <w:rFonts w:asciiTheme="majorHAnsi" w:hAnsiTheme="majorHAnsi" w:cstheme="majorHAnsi"/>
          <w:i/>
          <w:iCs/>
        </w:rPr>
        <w:t>materiály, ale i kvalifikovaná a dostupná pracovní síla – bez ní nic</w:t>
      </w:r>
      <w:r w:rsidR="00DA03B5">
        <w:rPr>
          <w:rFonts w:asciiTheme="majorHAnsi" w:hAnsiTheme="majorHAnsi" w:cstheme="majorHAnsi"/>
          <w:i/>
          <w:iCs/>
        </w:rPr>
        <w:t xml:space="preserve"> </w:t>
      </w:r>
      <w:r w:rsidR="00DA03B5" w:rsidRPr="00DA03B5">
        <w:rPr>
          <w:rFonts w:asciiTheme="majorHAnsi" w:hAnsiTheme="majorHAnsi" w:cstheme="majorHAnsi"/>
          <w:i/>
          <w:iCs/>
        </w:rPr>
        <w:t>nepostavíme.</w:t>
      </w:r>
      <w:r w:rsidR="00DA03B5" w:rsidRPr="00DA03B5">
        <w:rPr>
          <w:rFonts w:asciiTheme="majorHAnsi" w:hAnsiTheme="majorHAnsi" w:cstheme="majorHAnsi"/>
          <w:i/>
          <w:iCs/>
        </w:rPr>
        <w:t>“</w:t>
      </w:r>
    </w:p>
    <w:p w14:paraId="0291EAFD" w14:textId="77777777" w:rsidR="00DA03B5" w:rsidRDefault="00DA03B5" w:rsidP="00DA03B5">
      <w:pPr>
        <w:spacing w:line="360" w:lineRule="auto"/>
        <w:jc w:val="both"/>
        <w:rPr>
          <w:rFonts w:asciiTheme="majorHAnsi" w:hAnsiTheme="majorHAnsi" w:cstheme="majorHAnsi"/>
        </w:rPr>
      </w:pPr>
    </w:p>
    <w:p w14:paraId="532835C3" w14:textId="77777777" w:rsidR="00DA03B5" w:rsidRDefault="00DA03B5" w:rsidP="00DA03B5">
      <w:pPr>
        <w:spacing w:line="360" w:lineRule="auto"/>
        <w:jc w:val="both"/>
        <w:rPr>
          <w:rFonts w:asciiTheme="majorHAnsi" w:hAnsiTheme="majorHAnsi" w:cstheme="majorHAnsi"/>
        </w:rPr>
      </w:pPr>
    </w:p>
    <w:p w14:paraId="3BCE3765" w14:textId="77777777" w:rsidR="00DA03B5" w:rsidRDefault="00DA03B5" w:rsidP="00DA03B5">
      <w:pPr>
        <w:spacing w:line="360" w:lineRule="auto"/>
        <w:jc w:val="both"/>
        <w:rPr>
          <w:rFonts w:asciiTheme="majorHAnsi" w:hAnsiTheme="majorHAnsi" w:cstheme="majorHAnsi"/>
        </w:rPr>
      </w:pPr>
    </w:p>
    <w:p w14:paraId="559FEBF4" w14:textId="77777777" w:rsidR="00DA03B5" w:rsidRDefault="00DA03B5" w:rsidP="00DA03B5">
      <w:pPr>
        <w:spacing w:line="360" w:lineRule="auto"/>
        <w:jc w:val="both"/>
        <w:rPr>
          <w:rFonts w:asciiTheme="majorHAnsi" w:hAnsiTheme="majorHAnsi" w:cstheme="majorHAnsi"/>
        </w:rPr>
      </w:pPr>
    </w:p>
    <w:p w14:paraId="70BDD249" w14:textId="77777777" w:rsidR="00DA03B5" w:rsidRDefault="00DA03B5" w:rsidP="00DA03B5">
      <w:pPr>
        <w:spacing w:line="360" w:lineRule="auto"/>
        <w:jc w:val="both"/>
        <w:rPr>
          <w:rFonts w:asciiTheme="majorHAnsi" w:hAnsiTheme="majorHAnsi" w:cstheme="majorHAnsi"/>
        </w:rPr>
      </w:pPr>
    </w:p>
    <w:p w14:paraId="5607AE8B" w14:textId="77777777" w:rsidR="00DA03B5" w:rsidRDefault="00DA03B5" w:rsidP="00DA03B5">
      <w:pPr>
        <w:spacing w:line="360" w:lineRule="auto"/>
        <w:jc w:val="both"/>
        <w:rPr>
          <w:rFonts w:asciiTheme="majorHAnsi" w:hAnsiTheme="majorHAnsi" w:cstheme="majorHAnsi"/>
        </w:rPr>
      </w:pPr>
    </w:p>
    <w:p w14:paraId="7E62B786" w14:textId="77777777" w:rsidR="00DA03B5" w:rsidRDefault="00DA03B5" w:rsidP="00DA03B5">
      <w:pPr>
        <w:spacing w:line="360" w:lineRule="auto"/>
        <w:jc w:val="both"/>
        <w:rPr>
          <w:rFonts w:asciiTheme="majorHAnsi" w:hAnsiTheme="majorHAnsi" w:cstheme="majorHAnsi"/>
        </w:rPr>
      </w:pPr>
    </w:p>
    <w:p w14:paraId="3CC29CBC" w14:textId="77777777" w:rsidR="00DA03B5" w:rsidRDefault="00DA03B5" w:rsidP="00DA03B5">
      <w:pPr>
        <w:spacing w:line="360" w:lineRule="auto"/>
        <w:jc w:val="both"/>
        <w:rPr>
          <w:noProof/>
        </w:rPr>
      </w:pPr>
    </w:p>
    <w:p w14:paraId="53409821" w14:textId="77777777" w:rsidR="00DA03B5" w:rsidRDefault="00DA03B5" w:rsidP="00DA03B5">
      <w:pPr>
        <w:spacing w:line="360" w:lineRule="auto"/>
        <w:jc w:val="both"/>
        <w:rPr>
          <w:rFonts w:asciiTheme="majorHAnsi" w:hAnsiTheme="majorHAnsi" w:cstheme="majorHAnsi"/>
        </w:rPr>
      </w:pPr>
    </w:p>
    <w:p w14:paraId="3F8936AB" w14:textId="64B28468" w:rsidR="00DA03B5" w:rsidRDefault="00DA03B5" w:rsidP="00DA03B5">
      <w:pPr>
        <w:spacing w:line="360" w:lineRule="auto"/>
        <w:jc w:val="both"/>
        <w:rPr>
          <w:rFonts w:asciiTheme="majorHAnsi" w:hAnsiTheme="majorHAnsi" w:cstheme="majorHAnsi"/>
        </w:rPr>
      </w:pPr>
      <w:r>
        <w:rPr>
          <w:noProof/>
        </w:rPr>
        <w:lastRenderedPageBreak/>
        <w:drawing>
          <wp:anchor distT="0" distB="0" distL="114300" distR="114300" simplePos="0" relativeHeight="251661312" behindDoc="0" locked="0" layoutInCell="1" allowOverlap="1" wp14:anchorId="031F5FE3" wp14:editId="48E3C2BC">
            <wp:simplePos x="0" y="0"/>
            <wp:positionH relativeFrom="margin">
              <wp:align>right</wp:align>
            </wp:positionH>
            <wp:positionV relativeFrom="paragraph">
              <wp:posOffset>104775</wp:posOffset>
            </wp:positionV>
            <wp:extent cx="5760720" cy="360807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608070"/>
                    </a:xfrm>
                    <a:prstGeom prst="rect">
                      <a:avLst/>
                    </a:prstGeom>
                  </pic:spPr>
                </pic:pic>
              </a:graphicData>
            </a:graphic>
          </wp:anchor>
        </w:drawing>
      </w:r>
    </w:p>
    <w:p w14:paraId="1DF06C1B" w14:textId="5D353DB1" w:rsidR="00DA03B5" w:rsidRDefault="001F0865" w:rsidP="00DA03B5">
      <w:pPr>
        <w:spacing w:line="360" w:lineRule="auto"/>
        <w:jc w:val="both"/>
        <w:rPr>
          <w:rFonts w:asciiTheme="majorHAnsi" w:hAnsiTheme="majorHAnsi" w:cstheme="majorHAnsi"/>
        </w:rPr>
      </w:pPr>
      <w:r w:rsidRPr="00DA03B5">
        <w:rPr>
          <w:rFonts w:asciiTheme="majorHAnsi" w:hAnsiTheme="majorHAnsi" w:cstheme="majorHAnsi"/>
        </w:rPr>
        <w:t xml:space="preserve">Podle 57 % dotázaných stavebních společností mohou mít volby do poslanecké sněmovny částečný vliv na dostupnost bydlení, podle 12 % dotázaných mohou mít vliv dokonce velký. Zbylých 31 % dotázaných se domnívá, že žádný vliv mít nebudou. </w:t>
      </w:r>
      <w:bookmarkStart w:id="2" w:name="_Hlk86221550"/>
    </w:p>
    <w:p w14:paraId="4857E6AB" w14:textId="5E8C8B50" w:rsidR="001F0865" w:rsidRPr="00DA03B5" w:rsidRDefault="00DA03B5" w:rsidP="00DA03B5">
      <w:pPr>
        <w:spacing w:line="360" w:lineRule="auto"/>
        <w:jc w:val="both"/>
        <w:rPr>
          <w:rFonts w:asciiTheme="majorHAnsi" w:hAnsiTheme="majorHAnsi" w:cstheme="majorHAnsi"/>
        </w:rPr>
      </w:pPr>
      <w:r>
        <w:rPr>
          <w:noProof/>
        </w:rPr>
        <w:drawing>
          <wp:anchor distT="0" distB="0" distL="114300" distR="114300" simplePos="0" relativeHeight="251662336" behindDoc="0" locked="0" layoutInCell="1" allowOverlap="1" wp14:anchorId="6CC6F59C" wp14:editId="50C95800">
            <wp:simplePos x="0" y="0"/>
            <wp:positionH relativeFrom="margin">
              <wp:align>center</wp:align>
            </wp:positionH>
            <wp:positionV relativeFrom="paragraph">
              <wp:posOffset>193040</wp:posOffset>
            </wp:positionV>
            <wp:extent cx="4533900" cy="299085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33900" cy="2990850"/>
                    </a:xfrm>
                    <a:prstGeom prst="rect">
                      <a:avLst/>
                    </a:prstGeom>
                  </pic:spPr>
                </pic:pic>
              </a:graphicData>
            </a:graphic>
          </wp:anchor>
        </w:drawing>
      </w:r>
    </w:p>
    <w:p w14:paraId="5CA2A873" w14:textId="1598DB09" w:rsidR="00DA03B5" w:rsidRPr="00DA03B5" w:rsidRDefault="00DA03B5" w:rsidP="00DA03B5">
      <w:pPr>
        <w:rPr>
          <w:lang w:eastAsia="cs-CZ"/>
        </w:rPr>
      </w:pPr>
    </w:p>
    <w:p w14:paraId="6F3915E5" w14:textId="77777777" w:rsidR="001F0865" w:rsidRDefault="001F0865" w:rsidP="001F0865">
      <w:pPr>
        <w:pStyle w:val="Bezmezer"/>
      </w:pPr>
    </w:p>
    <w:bookmarkEnd w:id="1"/>
    <w:bookmarkEnd w:id="2"/>
    <w:p w14:paraId="1BD1AB97" w14:textId="04D4C51D" w:rsidR="00B05BB9" w:rsidRDefault="00DA03B5" w:rsidP="00DA03B5">
      <w:pPr>
        <w:spacing w:line="360" w:lineRule="auto"/>
        <w:jc w:val="both"/>
        <w:rPr>
          <w:rFonts w:asciiTheme="majorHAnsi" w:hAnsiTheme="majorHAnsi" w:cstheme="majorHAnsi"/>
        </w:rPr>
      </w:pPr>
      <w:r>
        <w:rPr>
          <w:noProof/>
        </w:rPr>
        <w:drawing>
          <wp:anchor distT="0" distB="0" distL="114300" distR="114300" simplePos="0" relativeHeight="251663360" behindDoc="0" locked="0" layoutInCell="1" allowOverlap="1" wp14:anchorId="32354A9A" wp14:editId="4434DEDD">
            <wp:simplePos x="0" y="0"/>
            <wp:positionH relativeFrom="margin">
              <wp:align>center</wp:align>
            </wp:positionH>
            <wp:positionV relativeFrom="paragraph">
              <wp:posOffset>1273175</wp:posOffset>
            </wp:positionV>
            <wp:extent cx="5514975" cy="3209925"/>
            <wp:effectExtent l="0" t="0" r="9525" b="9525"/>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14975" cy="3209925"/>
                    </a:xfrm>
                    <a:prstGeom prst="rect">
                      <a:avLst/>
                    </a:prstGeom>
                  </pic:spPr>
                </pic:pic>
              </a:graphicData>
            </a:graphic>
          </wp:anchor>
        </w:drawing>
      </w:r>
      <w:r w:rsidR="001F0865" w:rsidRPr="00DA03B5">
        <w:rPr>
          <w:rFonts w:asciiTheme="majorHAnsi" w:hAnsiTheme="majorHAnsi" w:cstheme="majorHAnsi"/>
        </w:rPr>
        <w:t xml:space="preserve">Podle 43 % dotázaných společností by se měla nová vláda zaměřit především na výstavbu dostupného bydlení, prioritou by měla být také výstavba nových silnic a dálnic (31 %). Podle 13 % dotázaných by se vláda měla zaměřit na revitalizaci brownfields a na modernizaci železničních tratí (7 %). Zbylých 6 % uvedlo také jiné priority než výše uvedené, mezi které patří například dlouhodobý investiční plán nebo lepší legislativa. </w:t>
      </w:r>
    </w:p>
    <w:p w14:paraId="719A8987" w14:textId="77777777" w:rsidR="00DA03B5" w:rsidRPr="00DA03B5" w:rsidRDefault="00DA03B5" w:rsidP="00DA03B5">
      <w:pPr>
        <w:spacing w:line="360" w:lineRule="auto"/>
        <w:jc w:val="both"/>
        <w:rPr>
          <w:rFonts w:asciiTheme="majorHAnsi" w:hAnsiTheme="majorHAnsi" w:cstheme="majorHAnsi"/>
        </w:rPr>
      </w:pPr>
    </w:p>
    <w:p w14:paraId="2001E002" w14:textId="1686D3FE" w:rsidR="00DA03B5" w:rsidRPr="00DA03B5" w:rsidRDefault="00DA03B5" w:rsidP="00DA03B5">
      <w:pPr>
        <w:jc w:val="center"/>
        <w:rPr>
          <w:rFonts w:asciiTheme="majorHAnsi" w:hAnsiTheme="majorHAnsi" w:cstheme="majorHAnsi"/>
          <w:b/>
          <w:bCs/>
          <w:sz w:val="36"/>
          <w:szCs w:val="36"/>
        </w:rPr>
      </w:pPr>
      <w:r w:rsidRPr="00DA03B5">
        <w:rPr>
          <w:rFonts w:asciiTheme="majorHAnsi" w:hAnsiTheme="majorHAnsi" w:cstheme="majorHAnsi"/>
          <w:b/>
          <w:bCs/>
          <w:sz w:val="36"/>
          <w:szCs w:val="36"/>
        </w:rPr>
        <w:t>KVARTÁLNÍ ANALÝZA ČESKÉHO STAVEBNICTVÍ Q4/2021 JE KE STAŽENÍ NA:</w:t>
      </w:r>
    </w:p>
    <w:p w14:paraId="4D7F6C3F" w14:textId="3CE50E15" w:rsidR="00DA03B5" w:rsidRPr="00DA03B5" w:rsidRDefault="00DA03B5" w:rsidP="00DA03B5">
      <w:pPr>
        <w:jc w:val="center"/>
        <w:rPr>
          <w:rFonts w:asciiTheme="majorHAnsi" w:hAnsiTheme="majorHAnsi" w:cstheme="majorHAnsi"/>
          <w:b/>
          <w:bCs/>
          <w:sz w:val="36"/>
          <w:szCs w:val="36"/>
        </w:rPr>
      </w:pPr>
      <w:hyperlink r:id="rId12" w:history="1">
        <w:r w:rsidRPr="00DA03B5">
          <w:rPr>
            <w:rStyle w:val="Hypertextovodkaz"/>
            <w:rFonts w:asciiTheme="majorHAnsi" w:hAnsiTheme="majorHAnsi" w:cstheme="majorHAnsi"/>
            <w:b/>
            <w:bCs/>
            <w:sz w:val="36"/>
            <w:szCs w:val="36"/>
          </w:rPr>
          <w:t>www.ceec.eu</w:t>
        </w:r>
      </w:hyperlink>
    </w:p>
    <w:p w14:paraId="235ED12A" w14:textId="77777777" w:rsidR="001F0865" w:rsidRDefault="001F0865" w:rsidP="001F0865">
      <w:pPr>
        <w:spacing w:before="240" w:after="240" w:line="240" w:lineRule="auto"/>
        <w:rPr>
          <w:rFonts w:ascii="Times New Roman" w:eastAsia="Times New Roman" w:hAnsi="Times New Roman" w:cs="Times New Roman"/>
          <w:color w:val="000000"/>
          <w:lang w:eastAsia="cs-CZ"/>
        </w:rPr>
      </w:pPr>
      <w:r>
        <w:rPr>
          <w:rFonts w:ascii="Calibri" w:eastAsia="Times New Roman" w:hAnsi="Calibri" w:cs="Calibri"/>
          <w:b/>
          <w:bCs/>
          <w:color w:val="000000"/>
          <w:lang w:eastAsia="cs-CZ"/>
        </w:rPr>
        <w:t>Kontakt pro média:</w:t>
      </w:r>
      <w:r>
        <w:rPr>
          <w:rFonts w:ascii="Calibri" w:eastAsia="Times New Roman" w:hAnsi="Calibri" w:cs="Calibri"/>
          <w:b/>
          <w:bCs/>
          <w:color w:val="000000"/>
          <w:lang w:eastAsia="cs-CZ"/>
        </w:rPr>
        <w:br/>
      </w:r>
      <w:r>
        <w:rPr>
          <w:rFonts w:ascii="Calibri" w:eastAsia="Times New Roman" w:hAnsi="Calibri" w:cs="Calibri"/>
          <w:color w:val="000000"/>
          <w:lang w:eastAsia="cs-CZ"/>
        </w:rPr>
        <w:t>Ing. Michal Vacek,</w:t>
      </w:r>
      <w:r>
        <w:rPr>
          <w:rFonts w:ascii="Calibri" w:eastAsia="Times New Roman" w:hAnsi="Calibri" w:cs="Calibri"/>
          <w:color w:val="000000"/>
          <w:lang w:eastAsia="cs-CZ"/>
        </w:rPr>
        <w:br/>
        <w:t>ředitel společnosti</w:t>
      </w:r>
      <w:r>
        <w:rPr>
          <w:rFonts w:ascii="Calibri" w:eastAsia="Times New Roman" w:hAnsi="Calibri" w:cs="Calibri"/>
          <w:color w:val="000000"/>
          <w:lang w:eastAsia="cs-CZ"/>
        </w:rPr>
        <w:br/>
        <w:t>CEEC Research</w:t>
      </w:r>
      <w:r>
        <w:rPr>
          <w:rFonts w:ascii="Calibri" w:eastAsia="Times New Roman" w:hAnsi="Calibri" w:cs="Calibri"/>
          <w:color w:val="000000"/>
          <w:lang w:eastAsia="cs-CZ"/>
        </w:rPr>
        <w:br/>
        <w:t>+420 776 023 170</w:t>
      </w:r>
      <w:r>
        <w:rPr>
          <w:rFonts w:ascii="Calibri" w:eastAsia="Times New Roman" w:hAnsi="Calibri" w:cs="Calibri"/>
          <w:color w:val="000000"/>
          <w:lang w:eastAsia="cs-CZ"/>
        </w:rPr>
        <w:br/>
      </w:r>
      <w:r>
        <w:rPr>
          <w:rFonts w:ascii="Calibri" w:eastAsia="Times New Roman" w:hAnsi="Calibri" w:cs="Calibri"/>
          <w:color w:val="1155CC"/>
          <w:u w:val="single"/>
          <w:lang w:eastAsia="cs-CZ"/>
        </w:rPr>
        <w:t>michal.vacek@ceec.eu</w:t>
      </w:r>
    </w:p>
    <w:p w14:paraId="078AFA0C" w14:textId="77777777" w:rsidR="001F0865" w:rsidRPr="00B91CDF" w:rsidRDefault="001F0865" w:rsidP="001F0865">
      <w:pPr>
        <w:spacing w:after="0" w:line="240" w:lineRule="auto"/>
        <w:jc w:val="both"/>
        <w:rPr>
          <w:rFonts w:asciiTheme="majorHAnsi" w:hAnsiTheme="majorHAnsi" w:cstheme="majorHAnsi"/>
        </w:rPr>
      </w:pPr>
      <w:r w:rsidRPr="00B91CDF">
        <w:rPr>
          <w:rFonts w:asciiTheme="majorHAnsi" w:hAnsiTheme="majorHAnsi" w:cstheme="majorHAnsi"/>
        </w:rPr>
        <w:t>Společnost CEEC Research je přední analytickou a výzkumnou společností zaměřující se na vývoj vybraných sektorů ekonomiky v zemích střední a východní Evropy. Její studie jsou využívány v současné době více než 17</w:t>
      </w:r>
      <w:r>
        <w:rPr>
          <w:rFonts w:asciiTheme="majorHAnsi" w:hAnsiTheme="majorHAnsi" w:cstheme="majorHAnsi"/>
        </w:rPr>
        <w:t> </w:t>
      </w:r>
      <w:r w:rsidRPr="00B91CDF">
        <w:rPr>
          <w:rFonts w:asciiTheme="majorHAnsi" w:hAnsiTheme="majorHAnsi" w:cstheme="majorHAnsi"/>
        </w:rPr>
        <w:t>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79A76444" w14:textId="77777777" w:rsidR="001F0865" w:rsidRPr="00B91CDF" w:rsidRDefault="001F0865" w:rsidP="001F0865">
      <w:pPr>
        <w:spacing w:after="0" w:line="240" w:lineRule="auto"/>
        <w:jc w:val="both"/>
        <w:rPr>
          <w:rFonts w:asciiTheme="majorHAnsi" w:hAnsiTheme="majorHAnsi" w:cstheme="majorHAnsi"/>
        </w:rPr>
      </w:pPr>
      <w:r w:rsidRPr="00B91CDF">
        <w:rPr>
          <w:rFonts w:asciiTheme="majorHAnsi" w:hAnsiTheme="majorHAnsi" w:cstheme="majorHAnsi"/>
        </w:rPr>
        <w:lastRenderedPageBreak/>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25BE709A" w14:textId="77777777" w:rsidR="001F0865" w:rsidRDefault="001F0865" w:rsidP="001F0865"/>
    <w:p w14:paraId="0F7E7F30" w14:textId="77777777" w:rsidR="001F0865" w:rsidRDefault="001F0865"/>
    <w:sectPr w:rsidR="001F086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9040" w14:textId="77777777" w:rsidR="0094663B" w:rsidRDefault="0094663B" w:rsidP="001F0865">
      <w:pPr>
        <w:spacing w:after="0" w:line="240" w:lineRule="auto"/>
      </w:pPr>
      <w:r>
        <w:separator/>
      </w:r>
    </w:p>
  </w:endnote>
  <w:endnote w:type="continuationSeparator" w:id="0">
    <w:p w14:paraId="69CF302C" w14:textId="77777777" w:rsidR="0094663B" w:rsidRDefault="0094663B" w:rsidP="001F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SansVariable-Italic">
    <w:altName w:val="Calibri"/>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E176" w14:textId="77777777" w:rsidR="0094663B" w:rsidRDefault="0094663B" w:rsidP="001F0865">
      <w:pPr>
        <w:spacing w:after="0" w:line="240" w:lineRule="auto"/>
      </w:pPr>
      <w:r>
        <w:separator/>
      </w:r>
    </w:p>
  </w:footnote>
  <w:footnote w:type="continuationSeparator" w:id="0">
    <w:p w14:paraId="4B1B7561" w14:textId="77777777" w:rsidR="0094663B" w:rsidRDefault="0094663B" w:rsidP="001F0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E862" w14:textId="5F038F84" w:rsidR="001F0865" w:rsidRDefault="00DA03B5">
    <w:pPr>
      <w:pStyle w:val="Zhlav"/>
    </w:pPr>
    <w:r>
      <w:rPr>
        <w:noProof/>
      </w:rPr>
      <w:drawing>
        <wp:anchor distT="0" distB="0" distL="114300" distR="114300" simplePos="0" relativeHeight="251661312" behindDoc="0" locked="0" layoutInCell="1" allowOverlap="1" wp14:anchorId="26A5A73A" wp14:editId="0BC8E417">
          <wp:simplePos x="0" y="0"/>
          <wp:positionH relativeFrom="margin">
            <wp:align>right</wp:align>
          </wp:positionH>
          <wp:positionV relativeFrom="paragraph">
            <wp:posOffset>-446405</wp:posOffset>
          </wp:positionV>
          <wp:extent cx="1438275" cy="1238250"/>
          <wp:effectExtent l="0" t="0" r="9525"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8275" cy="1238250"/>
                  </a:xfrm>
                  <a:prstGeom prst="rect">
                    <a:avLst/>
                  </a:prstGeom>
                </pic:spPr>
              </pic:pic>
            </a:graphicData>
          </a:graphic>
        </wp:anchor>
      </w:drawing>
    </w:r>
    <w:r w:rsidR="001F0865">
      <w:rPr>
        <w:noProof/>
      </w:rPr>
      <w:drawing>
        <wp:anchor distT="0" distB="0" distL="114300" distR="114300" simplePos="0" relativeHeight="251659264" behindDoc="0" locked="0" layoutInCell="1" allowOverlap="1" wp14:anchorId="0C2BC5F7" wp14:editId="6FF06F50">
          <wp:simplePos x="0" y="0"/>
          <wp:positionH relativeFrom="margin">
            <wp:align>left</wp:align>
          </wp:positionH>
          <wp:positionV relativeFrom="paragraph">
            <wp:posOffset>-400685</wp:posOffset>
          </wp:positionV>
          <wp:extent cx="1885950" cy="1012190"/>
          <wp:effectExtent l="0" t="0" r="0" b="0"/>
          <wp:wrapTopAndBottom/>
          <wp:docPr id="7" name="Obrázek 7"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65"/>
    <w:rsid w:val="000C0FDC"/>
    <w:rsid w:val="001F0865"/>
    <w:rsid w:val="0094663B"/>
    <w:rsid w:val="00B05BB9"/>
    <w:rsid w:val="00BA10E1"/>
    <w:rsid w:val="00DA03B5"/>
    <w:rsid w:val="00F55E2F"/>
    <w:rsid w:val="00F76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6A5A"/>
  <w15:chartTrackingRefBased/>
  <w15:docId w15:val="{07247AB2-2170-4094-B863-0F128B8A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0865"/>
  </w:style>
  <w:style w:type="paragraph" w:styleId="Nadpis1">
    <w:name w:val="heading 1"/>
    <w:basedOn w:val="Normln"/>
    <w:next w:val="Normln"/>
    <w:link w:val="Nadpis1Char"/>
    <w:uiPriority w:val="9"/>
    <w:qFormat/>
    <w:rsid w:val="001F08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0865"/>
    <w:rPr>
      <w:rFonts w:asciiTheme="majorHAnsi" w:eastAsiaTheme="majorEastAsia" w:hAnsiTheme="majorHAnsi" w:cstheme="majorBidi"/>
      <w:color w:val="2F5496" w:themeColor="accent1" w:themeShade="BF"/>
      <w:sz w:val="32"/>
      <w:szCs w:val="32"/>
    </w:rPr>
  </w:style>
  <w:style w:type="paragraph" w:styleId="Bezmezer">
    <w:name w:val="No Spacing"/>
    <w:uiPriority w:val="1"/>
    <w:qFormat/>
    <w:rsid w:val="001F0865"/>
    <w:pPr>
      <w:spacing w:after="0" w:line="240" w:lineRule="auto"/>
    </w:pPr>
    <w:rPr>
      <w:color w:val="70AD47" w:themeColor="accent6"/>
    </w:rPr>
  </w:style>
  <w:style w:type="paragraph" w:styleId="Zhlav">
    <w:name w:val="header"/>
    <w:basedOn w:val="Normln"/>
    <w:link w:val="ZhlavChar"/>
    <w:uiPriority w:val="99"/>
    <w:unhideWhenUsed/>
    <w:rsid w:val="001F08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0865"/>
  </w:style>
  <w:style w:type="paragraph" w:styleId="Zpat">
    <w:name w:val="footer"/>
    <w:basedOn w:val="Normln"/>
    <w:link w:val="ZpatChar"/>
    <w:uiPriority w:val="99"/>
    <w:unhideWhenUsed/>
    <w:rsid w:val="001F0865"/>
    <w:pPr>
      <w:tabs>
        <w:tab w:val="center" w:pos="4536"/>
        <w:tab w:val="right" w:pos="9072"/>
      </w:tabs>
      <w:spacing w:after="0" w:line="240" w:lineRule="auto"/>
    </w:pPr>
  </w:style>
  <w:style w:type="character" w:customStyle="1" w:styleId="ZpatChar">
    <w:name w:val="Zápatí Char"/>
    <w:basedOn w:val="Standardnpsmoodstavce"/>
    <w:link w:val="Zpat"/>
    <w:uiPriority w:val="99"/>
    <w:rsid w:val="001F0865"/>
  </w:style>
  <w:style w:type="character" w:styleId="Hypertextovodkaz">
    <w:name w:val="Hyperlink"/>
    <w:basedOn w:val="Standardnpsmoodstavce"/>
    <w:uiPriority w:val="99"/>
    <w:unhideWhenUsed/>
    <w:rsid w:val="00DA03B5"/>
    <w:rPr>
      <w:color w:val="0563C1" w:themeColor="hyperlink"/>
      <w:u w:val="single"/>
    </w:rPr>
  </w:style>
  <w:style w:type="character" w:styleId="Nevyeenzmnka">
    <w:name w:val="Unresolved Mention"/>
    <w:basedOn w:val="Standardnpsmoodstavce"/>
    <w:uiPriority w:val="99"/>
    <w:semiHidden/>
    <w:unhideWhenUsed/>
    <w:rsid w:val="00DA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eec.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1076</Words>
  <Characters>6349</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2021-11-03T09:27:00Z</dcterms:created>
  <dcterms:modified xsi:type="dcterms:W3CDTF">2021-11-29T14:40:00Z</dcterms:modified>
</cp:coreProperties>
</file>