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73BB" w14:textId="4BD02554" w:rsidR="00665970" w:rsidRPr="004806B0" w:rsidRDefault="00665970" w:rsidP="004806B0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806B0">
        <w:rPr>
          <w:rFonts w:asciiTheme="majorHAnsi" w:hAnsiTheme="majorHAnsi" w:cstheme="majorHAnsi"/>
          <w:b/>
          <w:bCs/>
          <w:sz w:val="36"/>
          <w:szCs w:val="36"/>
        </w:rPr>
        <w:t>STAVEBNÍ SPOLEČNOSTI OČEKÁVAJÍ RŮST TRHU AŽ O 1,5 % V LETOŠNÍM ROCE</w:t>
      </w:r>
    </w:p>
    <w:p w14:paraId="2F8F4341" w14:textId="77777777" w:rsidR="00231834" w:rsidRDefault="00231834" w:rsidP="00231834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752B64BD" w14:textId="27E5A247" w:rsidR="00CD4709" w:rsidRPr="00231834" w:rsidRDefault="004806B0" w:rsidP="00231834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0" w:name="_Hlk84920410"/>
      <w:r w:rsidRPr="00231834">
        <w:rPr>
          <w:rFonts w:asciiTheme="majorHAnsi" w:hAnsiTheme="majorHAnsi" w:cstheme="majorHAnsi"/>
          <w:b/>
          <w:bCs/>
        </w:rPr>
        <w:t xml:space="preserve">Praha 13.10.2021 - </w:t>
      </w:r>
      <w:r w:rsidR="00CD4709" w:rsidRPr="00231834">
        <w:rPr>
          <w:rFonts w:asciiTheme="majorHAnsi" w:hAnsiTheme="majorHAnsi" w:cstheme="majorHAnsi"/>
          <w:b/>
          <w:bCs/>
        </w:rPr>
        <w:t>Trh stavebních prací letos poroste o 1,5 %. Větší růst trhu očekávají malé stavební společnosti.</w:t>
      </w:r>
      <w:r w:rsidRPr="00231834">
        <w:rPr>
          <w:rFonts w:asciiTheme="majorHAnsi" w:hAnsiTheme="majorHAnsi" w:cstheme="majorHAnsi"/>
          <w:b/>
          <w:bCs/>
        </w:rPr>
        <w:t xml:space="preserve"> </w:t>
      </w:r>
      <w:r w:rsidR="00CD4709" w:rsidRPr="00231834">
        <w:rPr>
          <w:rFonts w:asciiTheme="majorHAnsi" w:hAnsiTheme="majorHAnsi" w:cstheme="majorHAnsi"/>
          <w:b/>
          <w:bCs/>
        </w:rPr>
        <w:t xml:space="preserve">Rychlejším tempem poroste inženýrské stavitelství. Stavební společnosti mají v současné chvíli kapacity vytíženy na 95 %. </w:t>
      </w:r>
      <w:r w:rsidRPr="00231834">
        <w:rPr>
          <w:rFonts w:asciiTheme="majorHAnsi" w:hAnsiTheme="majorHAnsi" w:cstheme="majorHAnsi"/>
          <w:b/>
          <w:bCs/>
        </w:rPr>
        <w:t>Tržby stavebních společností porostou o 2,4 %. Větší růst tržeb zaznamená inženýrské stavitelství. Tržby porostou rychleji větším společnostem. Stavební firmy mají v průměru nasmlouvané zakázky na 10 měsíců dopředu.</w:t>
      </w:r>
      <w:r w:rsidRPr="00231834">
        <w:rPr>
          <w:rFonts w:asciiTheme="majorHAnsi" w:hAnsiTheme="majorHAnsi" w:cstheme="majorHAnsi"/>
          <w:b/>
          <w:bCs/>
        </w:rPr>
        <w:t xml:space="preserve"> Vyplývá to z Kvartální analýzy českého stavebnictví Q4/2021 zpracované analytickou společností CEEC Research s.r.o.</w:t>
      </w:r>
    </w:p>
    <w:bookmarkEnd w:id="0"/>
    <w:p w14:paraId="3CCF9A3A" w14:textId="77777777" w:rsidR="00CD4709" w:rsidRPr="00231834" w:rsidRDefault="00CD4709" w:rsidP="00231834">
      <w:pPr>
        <w:spacing w:line="360" w:lineRule="auto"/>
        <w:jc w:val="both"/>
        <w:rPr>
          <w:rFonts w:asciiTheme="majorHAnsi" w:hAnsiTheme="majorHAnsi" w:cstheme="majorHAnsi"/>
        </w:rPr>
      </w:pPr>
      <w:r w:rsidRPr="00231834">
        <w:rPr>
          <w:rFonts w:asciiTheme="majorHAnsi" w:hAnsiTheme="majorHAnsi" w:cstheme="majorHAnsi"/>
        </w:rPr>
        <w:t xml:space="preserve">V tomto roce očekávají stavební společnosti růst trhu stavebních prací, a to o 1,5 %. V roce příštím očekávají stavební společnosti další růst trhu, a to o 1,4 %. </w:t>
      </w:r>
    </w:p>
    <w:p w14:paraId="7229551B" w14:textId="06E0AAAB" w:rsidR="00CD4709" w:rsidRDefault="00C15BD0" w:rsidP="00CD4709">
      <w:r>
        <w:rPr>
          <w:noProof/>
        </w:rPr>
        <w:drawing>
          <wp:inline distT="0" distB="0" distL="0" distR="0" wp14:anchorId="345EB178" wp14:editId="682BF662">
            <wp:extent cx="5760720" cy="39541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5E98A" w14:textId="5971290A" w:rsidR="00CD4709" w:rsidRPr="00231834" w:rsidRDefault="00CD4709" w:rsidP="00231834">
      <w:pPr>
        <w:spacing w:line="360" w:lineRule="auto"/>
        <w:jc w:val="both"/>
        <w:rPr>
          <w:rFonts w:asciiTheme="majorHAnsi" w:hAnsiTheme="majorHAnsi" w:cstheme="majorHAnsi"/>
        </w:rPr>
      </w:pPr>
      <w:r w:rsidRPr="00231834">
        <w:rPr>
          <w:rFonts w:asciiTheme="majorHAnsi" w:hAnsiTheme="majorHAnsi" w:cstheme="majorHAnsi"/>
        </w:rPr>
        <w:t xml:space="preserve">Při rozdělení společností dle výše jejich obratu (milníkem je hranice 100 mil. Kč za rok) vidíme, že vyšší růst trhu očekávají menší stavební společnosti. Ty pro letošní rok počítají s růstem trhu o 2,1 % a v roce 2022 o dalších 1,8 %. Oproti tomu velké stavební společnosti očekávají v obou letech téměř shodný růst trhu, a to o 1,2 % v tomto roce a o dalších 1,1 % v roce následujícím. </w:t>
      </w:r>
    </w:p>
    <w:p w14:paraId="48CAFB1D" w14:textId="77777777" w:rsidR="00CD4709" w:rsidRPr="00231834" w:rsidRDefault="00CD4709" w:rsidP="00231834">
      <w:pPr>
        <w:spacing w:line="360" w:lineRule="auto"/>
        <w:jc w:val="both"/>
        <w:rPr>
          <w:rFonts w:asciiTheme="majorHAnsi" w:hAnsiTheme="majorHAnsi" w:cstheme="majorHAnsi"/>
        </w:rPr>
      </w:pPr>
      <w:r w:rsidRPr="00231834">
        <w:rPr>
          <w:rFonts w:asciiTheme="majorHAnsi" w:hAnsiTheme="majorHAnsi" w:cstheme="majorHAnsi"/>
        </w:rPr>
        <w:lastRenderedPageBreak/>
        <w:t xml:space="preserve">Při rozdělení činností stavebních společností na dvě základní větve – inženýrské a pozemní stavitelství, můžeme vidět, že vyšší růst trhu očekávají společnosti věnující se inženýrské výstavbě. Ty počítají s růstem trhu v letošním roce ve výši 2,0 % a o dalších 0,7 % v roce 2022. společnosti zabývající se pozemním stavitelství očekávají v letošním roce růst trhu o 1,1 % a v roce 2022 o dalších 1,7 %. </w:t>
      </w:r>
    </w:p>
    <w:p w14:paraId="24FDB736" w14:textId="77777777" w:rsidR="00231834" w:rsidRDefault="00CD4709" w:rsidP="00231834">
      <w:pPr>
        <w:spacing w:line="360" w:lineRule="auto"/>
        <w:jc w:val="both"/>
        <w:rPr>
          <w:rFonts w:asciiTheme="majorHAnsi" w:hAnsiTheme="majorHAnsi" w:cstheme="majorHAnsi"/>
        </w:rPr>
      </w:pPr>
      <w:r w:rsidRPr="00231834">
        <w:rPr>
          <w:rFonts w:asciiTheme="majorHAnsi" w:hAnsiTheme="majorHAnsi" w:cstheme="majorHAnsi"/>
        </w:rPr>
        <w:t xml:space="preserve">V současné chvíli jsou kapacity stavebních společností vytíženy na 95 %. Ve čtvrtém kvartálu letošního roku očekávají stavební společnosti vytížení mírně nižší, a to na 94 %. </w:t>
      </w:r>
    </w:p>
    <w:p w14:paraId="7D77E380" w14:textId="24748421" w:rsidR="00CD4709" w:rsidRPr="00231834" w:rsidRDefault="00CD4709" w:rsidP="00231834">
      <w:pPr>
        <w:spacing w:line="360" w:lineRule="auto"/>
        <w:jc w:val="both"/>
        <w:rPr>
          <w:rFonts w:asciiTheme="majorHAnsi" w:hAnsiTheme="majorHAnsi" w:cstheme="majorHAnsi"/>
        </w:rPr>
      </w:pPr>
      <w:r w:rsidRPr="00231834">
        <w:rPr>
          <w:rFonts w:asciiTheme="majorHAnsi" w:hAnsiTheme="majorHAnsi" w:cstheme="majorHAnsi"/>
        </w:rPr>
        <w:t>V letošním roce očekávají stavební společnosti růst svých tržeb, a to o 2,4 %. V roce příštím předpokládají další růst svých tržeb, a to o dalších 1,8 %.</w:t>
      </w:r>
    </w:p>
    <w:p w14:paraId="571A633E" w14:textId="17BDF3F4" w:rsidR="00C15BD0" w:rsidRPr="00231834" w:rsidRDefault="00C15BD0" w:rsidP="00231834">
      <w:pPr>
        <w:spacing w:line="360" w:lineRule="auto"/>
        <w:jc w:val="both"/>
        <w:rPr>
          <w:rFonts w:asciiTheme="majorHAnsi" w:hAnsiTheme="majorHAnsi" w:cstheme="majorHAnsi"/>
        </w:rPr>
      </w:pPr>
      <w:r w:rsidRPr="00231834">
        <w:rPr>
          <w:rFonts w:asciiTheme="majorHAnsi" w:hAnsiTheme="majorHAnsi" w:cstheme="majorHAnsi"/>
          <w:noProof/>
        </w:rPr>
        <w:drawing>
          <wp:inline distT="0" distB="0" distL="0" distR="0" wp14:anchorId="6D448DD0" wp14:editId="7730F11F">
            <wp:extent cx="5760720" cy="42335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50A2" w14:textId="77777777" w:rsidR="00CD4709" w:rsidRPr="00231834" w:rsidRDefault="00CD4709" w:rsidP="00231834">
      <w:pPr>
        <w:spacing w:line="360" w:lineRule="auto"/>
        <w:jc w:val="both"/>
        <w:rPr>
          <w:rFonts w:asciiTheme="majorHAnsi" w:hAnsiTheme="majorHAnsi" w:cstheme="majorHAnsi"/>
        </w:rPr>
      </w:pPr>
      <w:r w:rsidRPr="00231834">
        <w:rPr>
          <w:rFonts w:asciiTheme="majorHAnsi" w:hAnsiTheme="majorHAnsi" w:cstheme="majorHAnsi"/>
        </w:rPr>
        <w:t xml:space="preserve">Pro letošní rok očekává inženýrské stavitelství vyšší růst tržeb, a to o 2,5 %. S dalším růstem počítají tyto stavební společnosti i v roce následujícím, a to o 0,2 %. Pozemní stavitelství je více optimistické pro rok 2022. mezitím co v letošním roce počítají tyto stavební společnosti s růstem tržeb o 2,2 %, v roce následujícím už je to 2,8 %. </w:t>
      </w:r>
    </w:p>
    <w:p w14:paraId="0002B5F2" w14:textId="65403BFF" w:rsidR="00CD4709" w:rsidRPr="00231834" w:rsidRDefault="00CD4709" w:rsidP="00231834">
      <w:pPr>
        <w:spacing w:line="360" w:lineRule="auto"/>
        <w:jc w:val="both"/>
        <w:rPr>
          <w:rFonts w:asciiTheme="majorHAnsi" w:hAnsiTheme="majorHAnsi" w:cstheme="majorHAnsi"/>
        </w:rPr>
      </w:pPr>
      <w:r w:rsidRPr="00231834">
        <w:rPr>
          <w:rFonts w:asciiTheme="majorHAnsi" w:hAnsiTheme="majorHAnsi" w:cstheme="majorHAnsi"/>
        </w:rPr>
        <w:t xml:space="preserve">Větší růst tržeb očekávají velké stavební společnosti s obratem nad 100 mil. Kč ročně. Ty předpokládají růst tržeb o 2,5 % v tomto roce a dalších růst o 2,1 % v roce 2022. Malé stavební společnosti počítají s růstem nižším, a to o 2,0 % v roce letošním a o 1,2 % v roce následujícím. </w:t>
      </w:r>
    </w:p>
    <w:p w14:paraId="4C22D395" w14:textId="5055F357" w:rsidR="00CD4709" w:rsidRPr="00231834" w:rsidRDefault="00CD4709" w:rsidP="00231834">
      <w:pPr>
        <w:pStyle w:val="Bezmezer"/>
        <w:spacing w:line="360" w:lineRule="auto"/>
        <w:rPr>
          <w:rFonts w:asciiTheme="majorHAnsi" w:hAnsiTheme="majorHAnsi" w:cstheme="majorHAnsi"/>
          <w:color w:val="auto"/>
        </w:rPr>
      </w:pPr>
      <w:r w:rsidRPr="00231834">
        <w:rPr>
          <w:rFonts w:asciiTheme="majorHAnsi" w:hAnsiTheme="majorHAnsi" w:cstheme="majorHAnsi"/>
          <w:color w:val="auto"/>
        </w:rPr>
        <w:lastRenderedPageBreak/>
        <w:t xml:space="preserve">V současné chvíli mají stavební společnosti nasmlouvané zakázky na v průměru 10 měsíců dopředu. Pro 41 % dotázaných se jedná o stejně dlouhou dobu ve srovnání se stejným obdobím minulého roku. Pro více jak třetinu představuje tato doba nárůst (35 %) a pro 24 % dotázaných naopak pokles. </w:t>
      </w:r>
      <w:r w:rsidR="00231834" w:rsidRPr="00231834">
        <w:rPr>
          <w:rFonts w:asciiTheme="majorHAnsi" w:hAnsiTheme="majorHAnsi" w:cstheme="majorHAnsi"/>
          <w:i/>
          <w:iCs/>
          <w:color w:val="auto"/>
        </w:rPr>
        <w:t>„</w:t>
      </w:r>
      <w:r w:rsidR="00231834" w:rsidRPr="00231834">
        <w:rPr>
          <w:rFonts w:asciiTheme="majorHAnsi" w:hAnsiTheme="majorHAnsi" w:cstheme="majorHAnsi"/>
          <w:i/>
          <w:iCs/>
          <w:color w:val="auto"/>
        </w:rPr>
        <w:t>Díky nasmlouvaným kontraktům doběhne letošní rok dle plánů, tedy nárůst v obratu , pokles v maržích a EBT ruku v ruce s růstem nákladů jak na materiál, tak vícenáklady řešící nedostatek materiálů i kapacity realizace.</w:t>
      </w:r>
      <w:r w:rsidR="00231834" w:rsidRPr="00231834">
        <w:rPr>
          <w:rFonts w:asciiTheme="majorHAnsi" w:hAnsiTheme="majorHAnsi" w:cstheme="majorHAnsi"/>
          <w:i/>
          <w:iCs/>
          <w:color w:val="auto"/>
        </w:rPr>
        <w:t>“</w:t>
      </w:r>
      <w:r w:rsidR="00231834">
        <w:rPr>
          <w:rFonts w:asciiTheme="majorHAnsi" w:hAnsiTheme="majorHAnsi" w:cstheme="majorHAnsi"/>
          <w:color w:val="auto"/>
        </w:rPr>
        <w:t xml:space="preserve"> </w:t>
      </w:r>
      <w:r w:rsidR="00231834" w:rsidRPr="00231834">
        <w:rPr>
          <w:rFonts w:asciiTheme="majorHAnsi" w:hAnsiTheme="majorHAnsi" w:cstheme="majorHAnsi"/>
          <w:color w:val="auto"/>
        </w:rPr>
        <w:t>doplňuje</w:t>
      </w:r>
      <w:r w:rsidR="00231834" w:rsidRPr="00231834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231834" w:rsidRPr="00231834">
        <w:rPr>
          <w:rFonts w:asciiTheme="majorHAnsi" w:hAnsiTheme="majorHAnsi" w:cstheme="majorHAnsi"/>
          <w:b/>
          <w:bCs/>
          <w:color w:val="auto"/>
        </w:rPr>
        <w:t>Ivo Luňák</w:t>
      </w:r>
      <w:r w:rsidR="00231834" w:rsidRPr="00231834">
        <w:rPr>
          <w:rFonts w:asciiTheme="majorHAnsi" w:hAnsiTheme="majorHAnsi" w:cstheme="majorHAnsi"/>
          <w:b/>
          <w:bCs/>
          <w:color w:val="auto"/>
        </w:rPr>
        <w:t xml:space="preserve">, </w:t>
      </w:r>
      <w:r w:rsidR="00231834" w:rsidRPr="00231834">
        <w:rPr>
          <w:rFonts w:asciiTheme="majorHAnsi" w:hAnsiTheme="majorHAnsi" w:cstheme="majorHAnsi"/>
          <w:b/>
          <w:bCs/>
          <w:color w:val="auto"/>
        </w:rPr>
        <w:t>jednatel společnosti Tyros Loading Systems CZ s.r.o.</w:t>
      </w:r>
    </w:p>
    <w:p w14:paraId="169C02C1" w14:textId="7D613558" w:rsidR="00C15BD0" w:rsidRDefault="00C15BD0" w:rsidP="00C15BD0">
      <w:r>
        <w:rPr>
          <w:noProof/>
        </w:rPr>
        <w:drawing>
          <wp:inline distT="0" distB="0" distL="0" distR="0" wp14:anchorId="5C7EBE19" wp14:editId="5E9D6FD0">
            <wp:extent cx="5760720" cy="44596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85CA5" w14:textId="0765526A" w:rsidR="00C15BD0" w:rsidRPr="00231834" w:rsidRDefault="004806B0" w:rsidP="0023183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31834">
        <w:rPr>
          <w:rFonts w:asciiTheme="majorHAnsi" w:hAnsiTheme="majorHAnsi" w:cstheme="majorHAnsi"/>
          <w:b/>
          <w:bCs/>
          <w:sz w:val="32"/>
          <w:szCs w:val="32"/>
        </w:rPr>
        <w:t>KVARTÁLNÍ ANALÝZA ČESKÉHO STAVEBNITCVÍ Q4/2021</w:t>
      </w:r>
      <w:r w:rsidR="00231834" w:rsidRPr="00231834">
        <w:rPr>
          <w:rFonts w:asciiTheme="majorHAnsi" w:hAnsiTheme="majorHAnsi" w:cstheme="majorHAnsi"/>
          <w:b/>
          <w:bCs/>
          <w:sz w:val="32"/>
          <w:szCs w:val="32"/>
        </w:rPr>
        <w:t xml:space="preserve"> JE ZVEŘEJNĚNA NA:</w:t>
      </w:r>
    </w:p>
    <w:p w14:paraId="5517611B" w14:textId="0C3E3F90" w:rsidR="00231834" w:rsidRPr="00231834" w:rsidRDefault="00231834" w:rsidP="0023183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hyperlink r:id="rId9" w:history="1">
        <w:r w:rsidRPr="00231834">
          <w:rPr>
            <w:rStyle w:val="Hypertextovodkaz"/>
            <w:rFonts w:asciiTheme="majorHAnsi" w:hAnsiTheme="majorHAnsi" w:cstheme="majorHAnsi"/>
            <w:b/>
            <w:bCs/>
            <w:sz w:val="32"/>
            <w:szCs w:val="32"/>
          </w:rPr>
          <w:t>www.ceec.eu</w:t>
        </w:r>
      </w:hyperlink>
      <w:r w:rsidRPr="0023183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03E66E35" w14:textId="77777777" w:rsidR="00C15BD0" w:rsidRDefault="00C15BD0" w:rsidP="00C15BD0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 pro média: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Ing. Michal Vacek,</w:t>
      </w:r>
      <w:r>
        <w:rPr>
          <w:rFonts w:ascii="Calibri" w:eastAsia="Times New Roman" w:hAnsi="Calibri" w:cs="Calibri"/>
          <w:color w:val="000000"/>
          <w:lang w:eastAsia="cs-CZ"/>
        </w:rPr>
        <w:br/>
        <w:t>ředitel společnosti</w:t>
      </w:r>
      <w:r>
        <w:rPr>
          <w:rFonts w:ascii="Calibri" w:eastAsia="Times New Roman" w:hAnsi="Calibri" w:cs="Calibri"/>
          <w:color w:val="000000"/>
          <w:lang w:eastAsia="cs-CZ"/>
        </w:rPr>
        <w:br/>
        <w:t>CEEC Research</w:t>
      </w:r>
      <w:r>
        <w:rPr>
          <w:rFonts w:ascii="Calibri" w:eastAsia="Times New Roman" w:hAnsi="Calibri" w:cs="Calibri"/>
          <w:color w:val="000000"/>
          <w:lang w:eastAsia="cs-CZ"/>
        </w:rPr>
        <w:br/>
        <w:t>+420 776 023 170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1155CC"/>
          <w:u w:val="single"/>
          <w:lang w:eastAsia="cs-CZ"/>
        </w:rPr>
        <w:t>michal.vacek@ceec.eu</w:t>
      </w:r>
    </w:p>
    <w:p w14:paraId="3A1E951C" w14:textId="77777777" w:rsidR="00C15BD0" w:rsidRPr="00B91CDF" w:rsidRDefault="00C15BD0" w:rsidP="00C15BD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lastRenderedPageBreak/>
        <w:t>Společnost CEEC Research je přední analytickou a výzkumnou společností zaměřující se na vývoj vybraných sektorů ekonomiky v zemích střední a východní Evropy. Její studie jsou využívány v současné době více než 17</w:t>
      </w:r>
      <w:r>
        <w:rPr>
          <w:rFonts w:asciiTheme="majorHAnsi" w:hAnsiTheme="majorHAnsi" w:cstheme="majorHAnsi"/>
        </w:rPr>
        <w:t> </w:t>
      </w:r>
      <w:r w:rsidRPr="00B91CDF">
        <w:rPr>
          <w:rFonts w:asciiTheme="majorHAnsi" w:hAnsiTheme="majorHAnsi" w:cstheme="majorHAnsi"/>
        </w:rPr>
        <w:t>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424B334E" w14:textId="77777777" w:rsidR="00C15BD0" w:rsidRPr="00B91CDF" w:rsidRDefault="00C15BD0" w:rsidP="00C15BD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659E45BE" w14:textId="77777777" w:rsidR="00C15BD0" w:rsidRPr="00C15BD0" w:rsidRDefault="00C15BD0" w:rsidP="00C15BD0"/>
    <w:p w14:paraId="09A0A38D" w14:textId="77777777" w:rsidR="00CD4709" w:rsidRDefault="00CD4709" w:rsidP="00CD4709"/>
    <w:p w14:paraId="72AF07A6" w14:textId="77777777" w:rsidR="00CD4709" w:rsidRPr="00CE0660" w:rsidRDefault="00CD4709" w:rsidP="00CD4709"/>
    <w:p w14:paraId="41EC2785" w14:textId="4E272EBA" w:rsidR="005404D8" w:rsidRDefault="005404D8"/>
    <w:sectPr w:rsidR="005404D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6E6E" w14:textId="77777777" w:rsidR="0050318E" w:rsidRDefault="0050318E" w:rsidP="00C15BD0">
      <w:pPr>
        <w:spacing w:after="0" w:line="240" w:lineRule="auto"/>
      </w:pPr>
      <w:r>
        <w:separator/>
      </w:r>
    </w:p>
  </w:endnote>
  <w:endnote w:type="continuationSeparator" w:id="0">
    <w:p w14:paraId="20D49C8C" w14:textId="77777777" w:rsidR="0050318E" w:rsidRDefault="0050318E" w:rsidP="00C1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F7D7" w14:textId="77777777" w:rsidR="0050318E" w:rsidRDefault="0050318E" w:rsidP="00C15BD0">
      <w:pPr>
        <w:spacing w:after="0" w:line="240" w:lineRule="auto"/>
      </w:pPr>
      <w:r>
        <w:separator/>
      </w:r>
    </w:p>
  </w:footnote>
  <w:footnote w:type="continuationSeparator" w:id="0">
    <w:p w14:paraId="65B0476C" w14:textId="77777777" w:rsidR="0050318E" w:rsidRDefault="0050318E" w:rsidP="00C1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AA5F" w14:textId="31458D92" w:rsidR="00C15BD0" w:rsidRDefault="00C15BD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54D741" wp14:editId="17DD3BFB">
          <wp:simplePos x="0" y="0"/>
          <wp:positionH relativeFrom="margin">
            <wp:posOffset>-4445</wp:posOffset>
          </wp:positionH>
          <wp:positionV relativeFrom="paragraph">
            <wp:posOffset>-306705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709"/>
    <w:rsid w:val="000C0FDC"/>
    <w:rsid w:val="00231834"/>
    <w:rsid w:val="004806B0"/>
    <w:rsid w:val="004D68A0"/>
    <w:rsid w:val="0050318E"/>
    <w:rsid w:val="005404D8"/>
    <w:rsid w:val="00585B20"/>
    <w:rsid w:val="00665970"/>
    <w:rsid w:val="00BA10E1"/>
    <w:rsid w:val="00C15BD0"/>
    <w:rsid w:val="00C762C3"/>
    <w:rsid w:val="00CD4709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A74D"/>
  <w15:docId w15:val="{DA2CE4F7-A75A-4112-AAA8-B57DF20F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09"/>
  </w:style>
  <w:style w:type="paragraph" w:styleId="Nadpis1">
    <w:name w:val="heading 1"/>
    <w:basedOn w:val="Normln"/>
    <w:next w:val="Normln"/>
    <w:link w:val="Nadpis1Char"/>
    <w:uiPriority w:val="9"/>
    <w:qFormat/>
    <w:rsid w:val="00CD4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CD4709"/>
    <w:pPr>
      <w:spacing w:after="0" w:line="240" w:lineRule="auto"/>
      <w:jc w:val="both"/>
    </w:pPr>
    <w:rPr>
      <w:color w:val="70AD47" w:themeColor="accent6"/>
    </w:rPr>
  </w:style>
  <w:style w:type="paragraph" w:styleId="Zhlav">
    <w:name w:val="header"/>
    <w:basedOn w:val="Normln"/>
    <w:link w:val="ZhlavChar"/>
    <w:uiPriority w:val="99"/>
    <w:unhideWhenUsed/>
    <w:rsid w:val="00C1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D0"/>
  </w:style>
  <w:style w:type="paragraph" w:styleId="Zpat">
    <w:name w:val="footer"/>
    <w:basedOn w:val="Normln"/>
    <w:link w:val="ZpatChar"/>
    <w:uiPriority w:val="99"/>
    <w:unhideWhenUsed/>
    <w:rsid w:val="00C1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D0"/>
  </w:style>
  <w:style w:type="character" w:styleId="Hypertextovodkaz">
    <w:name w:val="Hyperlink"/>
    <w:basedOn w:val="Standardnpsmoodstavce"/>
    <w:uiPriority w:val="99"/>
    <w:unhideWhenUsed/>
    <w:rsid w:val="002318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1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2021-09-07T12:58:00Z</dcterms:created>
  <dcterms:modified xsi:type="dcterms:W3CDTF">2021-10-12T06:48:00Z</dcterms:modified>
</cp:coreProperties>
</file>