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2CC" w:rsidRPr="007265CC" w:rsidRDefault="00F17FD2" w:rsidP="00BB1A72">
      <w:pPr>
        <w:spacing w:after="0" w:line="360" w:lineRule="auto"/>
        <w:jc w:val="center"/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 xml:space="preserve">Volební </w:t>
      </w:r>
      <w:proofErr w:type="gramStart"/>
      <w:r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>rok - objem</w:t>
      </w:r>
      <w:proofErr w:type="gramEnd"/>
      <w:r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 xml:space="preserve"> zadaných veřejných zakázek intenzivně roste, za prvních sedm měsíců až o </w:t>
      </w:r>
      <w:r w:rsidR="00DD3A11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>91 % na úroveň 182 mld. Kč</w:t>
      </w:r>
      <w:r w:rsidR="006E42AD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 xml:space="preserve"> </w:t>
      </w:r>
    </w:p>
    <w:p w:rsidR="00C63502" w:rsidRPr="007265CC" w:rsidRDefault="00C63502" w:rsidP="00EC72CC">
      <w:pPr>
        <w:spacing w:after="0" w:line="360" w:lineRule="auto"/>
        <w:jc w:val="center"/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</w:pPr>
    </w:p>
    <w:p w:rsidR="00EE4A95" w:rsidRPr="003C69F9" w:rsidRDefault="00B718C2" w:rsidP="00494BCC">
      <w:pPr>
        <w:spacing w:after="0" w:line="360" w:lineRule="auto"/>
        <w:jc w:val="both"/>
        <w:rPr>
          <w:rFonts w:ascii="Arial" w:eastAsia="SimSun" w:hAnsi="Arial" w:cs="Arial"/>
          <w:b/>
          <w:color w:val="000000" w:themeColor="text1"/>
          <w:kern w:val="1"/>
        </w:rPr>
      </w:pPr>
      <w:r w:rsidRPr="003C69F9">
        <w:rPr>
          <w:rFonts w:ascii="Arial" w:eastAsia="SimSun" w:hAnsi="Arial" w:cs="Arial"/>
          <w:b/>
          <w:color w:val="000000" w:themeColor="text1"/>
          <w:kern w:val="1"/>
        </w:rPr>
        <w:t>Praha</w:t>
      </w:r>
      <w:r w:rsidR="001F188B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F17FD2">
        <w:rPr>
          <w:rFonts w:ascii="Arial" w:eastAsia="SimSun" w:hAnsi="Arial" w:cs="Arial"/>
          <w:b/>
          <w:color w:val="000000" w:themeColor="text1"/>
          <w:kern w:val="1"/>
        </w:rPr>
        <w:t>7. září</w:t>
      </w:r>
      <w:r w:rsidR="001D7988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627790" w:rsidRPr="003C69F9">
        <w:rPr>
          <w:rFonts w:ascii="Arial" w:eastAsia="SimSun" w:hAnsi="Arial" w:cs="Arial"/>
          <w:b/>
          <w:color w:val="000000" w:themeColor="text1"/>
          <w:kern w:val="1"/>
        </w:rPr>
        <w:t>–</w:t>
      </w:r>
      <w:r w:rsidR="00F17FD2">
        <w:rPr>
          <w:rFonts w:ascii="Arial" w:eastAsia="SimSun" w:hAnsi="Arial" w:cs="Arial"/>
          <w:b/>
          <w:color w:val="000000" w:themeColor="text1"/>
          <w:kern w:val="1"/>
        </w:rPr>
        <w:t xml:space="preserve"> Zadávání veřejných zakázek v České republice</w:t>
      </w:r>
      <w:r w:rsidR="00F60B17">
        <w:rPr>
          <w:rFonts w:ascii="Arial" w:eastAsia="SimSun" w:hAnsi="Arial" w:cs="Arial"/>
          <w:b/>
          <w:color w:val="000000" w:themeColor="text1"/>
          <w:kern w:val="1"/>
        </w:rPr>
        <w:t xml:space="preserve"> nadále vykazuje výrazně</w:t>
      </w:r>
      <w:r w:rsidR="001238BB">
        <w:rPr>
          <w:rFonts w:ascii="Arial" w:eastAsia="SimSun" w:hAnsi="Arial" w:cs="Arial"/>
          <w:b/>
          <w:color w:val="000000" w:themeColor="text1"/>
          <w:kern w:val="1"/>
        </w:rPr>
        <w:t xml:space="preserve"> kladnou bilanci, přičemž v meziročním srovnání jde o nárůst</w:t>
      </w:r>
      <w:r w:rsidR="00E007E5">
        <w:rPr>
          <w:rFonts w:ascii="Arial" w:eastAsia="SimSun" w:hAnsi="Arial" w:cs="Arial"/>
          <w:b/>
          <w:color w:val="000000" w:themeColor="text1"/>
          <w:kern w:val="1"/>
        </w:rPr>
        <w:t xml:space="preserve"> až</w:t>
      </w:r>
      <w:r w:rsidR="001238BB">
        <w:rPr>
          <w:rFonts w:ascii="Arial" w:eastAsia="SimSun" w:hAnsi="Arial" w:cs="Arial"/>
          <w:b/>
          <w:color w:val="000000" w:themeColor="text1"/>
          <w:kern w:val="1"/>
        </w:rPr>
        <w:t xml:space="preserve"> o </w:t>
      </w:r>
      <w:r w:rsidR="00DD3A11">
        <w:rPr>
          <w:rFonts w:ascii="Arial" w:eastAsia="SimSun" w:hAnsi="Arial" w:cs="Arial"/>
          <w:b/>
          <w:color w:val="000000" w:themeColor="text1"/>
          <w:kern w:val="1"/>
        </w:rPr>
        <w:t>91,2</w:t>
      </w:r>
      <w:r w:rsidR="001238BB">
        <w:rPr>
          <w:rFonts w:ascii="Arial" w:eastAsia="SimSun" w:hAnsi="Arial" w:cs="Arial"/>
          <w:b/>
          <w:color w:val="000000" w:themeColor="text1"/>
          <w:kern w:val="1"/>
        </w:rPr>
        <w:t xml:space="preserve"> procenta </w:t>
      </w:r>
      <w:r w:rsidR="00DD3A11">
        <w:rPr>
          <w:rFonts w:ascii="Arial" w:eastAsia="SimSun" w:hAnsi="Arial" w:cs="Arial"/>
          <w:b/>
          <w:color w:val="000000" w:themeColor="text1"/>
          <w:kern w:val="1"/>
        </w:rPr>
        <w:t xml:space="preserve">z </w:t>
      </w:r>
      <w:r w:rsidR="001238BB">
        <w:rPr>
          <w:rFonts w:ascii="Arial" w:eastAsia="SimSun" w:hAnsi="Arial" w:cs="Arial"/>
          <w:b/>
          <w:color w:val="000000" w:themeColor="text1"/>
          <w:kern w:val="1"/>
        </w:rPr>
        <w:t>hlediska objemu</w:t>
      </w:r>
      <w:r w:rsidR="00DD3A11">
        <w:rPr>
          <w:rFonts w:ascii="Arial" w:eastAsia="SimSun" w:hAnsi="Arial" w:cs="Arial"/>
          <w:b/>
          <w:color w:val="000000" w:themeColor="text1"/>
          <w:kern w:val="1"/>
        </w:rPr>
        <w:t xml:space="preserve"> zakázek a 173,6 % z hlediska jejich počtu</w:t>
      </w:r>
      <w:r w:rsidR="00607F68">
        <w:rPr>
          <w:rFonts w:ascii="Arial" w:eastAsia="SimSun" w:hAnsi="Arial" w:cs="Arial"/>
          <w:b/>
          <w:color w:val="000000" w:themeColor="text1"/>
          <w:kern w:val="1"/>
        </w:rPr>
        <w:t>.</w:t>
      </w:r>
      <w:r w:rsidR="00FD2CA5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F17FD2">
        <w:rPr>
          <w:rFonts w:ascii="Arial" w:eastAsia="SimSun" w:hAnsi="Arial" w:cs="Arial"/>
          <w:b/>
          <w:color w:val="000000" w:themeColor="text1"/>
          <w:kern w:val="1"/>
        </w:rPr>
        <w:t xml:space="preserve">Za prvních sedm měsíců roku 2017 bylo vyhlášeno celkem 4565 nových veřejných zakázek v souhrnné hodnotě 172,5 miliardy korun. Z těchto soutěží již byla přibližně čtvrtina zadána konkrétním dodavatelům, jejich objem však představoval jen necelou pětinu celkového objemu letos vypsaných veřejných investic. </w:t>
      </w:r>
      <w:r w:rsidR="00DC6643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Vyplývá to z nejnovější analýzy zpracované analytickou společností CEEC </w:t>
      </w:r>
      <w:proofErr w:type="spellStart"/>
      <w:r w:rsidR="00DC6643" w:rsidRPr="003C69F9">
        <w:rPr>
          <w:rFonts w:ascii="Arial" w:eastAsia="SimSun" w:hAnsi="Arial" w:cs="Arial"/>
          <w:b/>
          <w:color w:val="000000" w:themeColor="text1"/>
          <w:kern w:val="1"/>
        </w:rPr>
        <w:t>Research</w:t>
      </w:r>
      <w:proofErr w:type="spellEnd"/>
      <w:r w:rsidR="00DC6643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 na základě dat uveřejněných </w:t>
      </w:r>
      <w:r w:rsidR="00DB5326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ve Věstníku veřejných zakázek </w:t>
      </w:r>
      <w:r w:rsidR="000603B3">
        <w:rPr>
          <w:rFonts w:ascii="Arial" w:eastAsia="SimSun" w:hAnsi="Arial" w:cs="Arial"/>
          <w:b/>
          <w:color w:val="000000" w:themeColor="text1"/>
          <w:kern w:val="1"/>
        </w:rPr>
        <w:t>na konci</w:t>
      </w:r>
      <w:r w:rsidR="00842445">
        <w:rPr>
          <w:rFonts w:ascii="Arial" w:eastAsia="SimSun" w:hAnsi="Arial" w:cs="Arial"/>
          <w:b/>
          <w:color w:val="000000" w:themeColor="text1"/>
          <w:kern w:val="1"/>
        </w:rPr>
        <w:t xml:space="preserve"> července</w:t>
      </w:r>
      <w:r w:rsidR="00CE7ABD">
        <w:rPr>
          <w:rFonts w:ascii="Arial" w:eastAsia="SimSun" w:hAnsi="Arial" w:cs="Arial"/>
          <w:b/>
          <w:color w:val="000000" w:themeColor="text1"/>
          <w:kern w:val="1"/>
        </w:rPr>
        <w:t xml:space="preserve"> 2017</w:t>
      </w:r>
      <w:r w:rsidR="00DB5326" w:rsidRPr="003C69F9">
        <w:rPr>
          <w:rFonts w:ascii="Arial" w:eastAsia="SimSun" w:hAnsi="Arial" w:cs="Arial"/>
          <w:b/>
          <w:color w:val="000000" w:themeColor="text1"/>
          <w:kern w:val="1"/>
        </w:rPr>
        <w:t>.</w:t>
      </w:r>
    </w:p>
    <w:p w:rsidR="00BB29BA" w:rsidRDefault="00BB29BA" w:rsidP="003354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0A26C3" w:rsidRPr="00764B0A" w:rsidRDefault="00F4544E" w:rsidP="000A26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Od ledna do července</w:t>
      </w:r>
      <w:r w:rsidR="00370AF8">
        <w:rPr>
          <w:rFonts w:ascii="Arial" w:hAnsi="Arial" w:cs="Arial"/>
          <w:color w:val="000000" w:themeColor="text1"/>
        </w:rPr>
        <w:t xml:space="preserve"> roku</w:t>
      </w:r>
      <w:r w:rsidR="005F578D">
        <w:rPr>
          <w:rFonts w:ascii="Arial" w:hAnsi="Arial" w:cs="Arial"/>
          <w:color w:val="000000" w:themeColor="text1"/>
        </w:rPr>
        <w:t xml:space="preserve"> </w:t>
      </w:r>
      <w:r w:rsidR="00E67968">
        <w:rPr>
          <w:rFonts w:ascii="Arial" w:hAnsi="Arial" w:cs="Arial"/>
          <w:color w:val="000000" w:themeColor="text1"/>
        </w:rPr>
        <w:t>2017</w:t>
      </w:r>
      <w:r w:rsidR="005D0E7A">
        <w:rPr>
          <w:rFonts w:ascii="Arial" w:hAnsi="Arial" w:cs="Arial"/>
          <w:color w:val="000000" w:themeColor="text1"/>
        </w:rPr>
        <w:t xml:space="preserve"> bylo </w:t>
      </w:r>
      <w:r w:rsidR="00370AF8">
        <w:rPr>
          <w:rFonts w:ascii="Arial" w:hAnsi="Arial" w:cs="Arial"/>
          <w:color w:val="000000" w:themeColor="text1"/>
        </w:rPr>
        <w:t xml:space="preserve">ukončeno a </w:t>
      </w:r>
      <w:r w:rsidR="005D0E7A">
        <w:rPr>
          <w:rFonts w:ascii="Arial" w:hAnsi="Arial" w:cs="Arial"/>
          <w:color w:val="000000" w:themeColor="text1"/>
        </w:rPr>
        <w:t>k</w:t>
      </w:r>
      <w:r w:rsidR="00DA1CE5">
        <w:rPr>
          <w:rFonts w:ascii="Arial" w:hAnsi="Arial" w:cs="Arial"/>
          <w:color w:val="000000" w:themeColor="text1"/>
        </w:rPr>
        <w:t>onkré</w:t>
      </w:r>
      <w:r w:rsidR="002B17F9">
        <w:rPr>
          <w:rFonts w:ascii="Arial" w:hAnsi="Arial" w:cs="Arial"/>
          <w:color w:val="000000" w:themeColor="text1"/>
        </w:rPr>
        <w:t>tním dodavatelům</w:t>
      </w:r>
      <w:r w:rsidR="001D074C">
        <w:rPr>
          <w:rFonts w:ascii="Arial" w:hAnsi="Arial" w:cs="Arial"/>
          <w:color w:val="000000" w:themeColor="text1"/>
        </w:rPr>
        <w:t xml:space="preserve"> zadáno 15 988</w:t>
      </w:r>
      <w:r w:rsidR="00DA1CE5">
        <w:rPr>
          <w:rFonts w:ascii="Arial" w:hAnsi="Arial" w:cs="Arial"/>
          <w:color w:val="000000" w:themeColor="text1"/>
        </w:rPr>
        <w:t xml:space="preserve"> zakázek</w:t>
      </w:r>
      <w:r w:rsidR="007A7DDD">
        <w:rPr>
          <w:rFonts w:ascii="Arial" w:hAnsi="Arial" w:cs="Arial"/>
          <w:color w:val="000000" w:themeColor="text1"/>
        </w:rPr>
        <w:t xml:space="preserve"> v</w:t>
      </w:r>
      <w:r w:rsidR="00370AF8">
        <w:rPr>
          <w:rFonts w:ascii="Arial" w:hAnsi="Arial" w:cs="Arial"/>
          <w:color w:val="000000" w:themeColor="text1"/>
        </w:rPr>
        <w:t xml:space="preserve"> celkové</w:t>
      </w:r>
      <w:r w:rsidR="00E67968">
        <w:rPr>
          <w:rFonts w:ascii="Arial" w:hAnsi="Arial" w:cs="Arial"/>
          <w:color w:val="000000" w:themeColor="text1"/>
        </w:rPr>
        <w:t> </w:t>
      </w:r>
      <w:r w:rsidR="00CB3E4B">
        <w:rPr>
          <w:rFonts w:ascii="Arial" w:hAnsi="Arial" w:cs="Arial"/>
          <w:color w:val="000000" w:themeColor="text1"/>
        </w:rPr>
        <w:t xml:space="preserve">hodnotě </w:t>
      </w:r>
      <w:r w:rsidR="001D074C">
        <w:rPr>
          <w:rFonts w:ascii="Arial" w:hAnsi="Arial" w:cs="Arial"/>
          <w:color w:val="000000" w:themeColor="text1"/>
        </w:rPr>
        <w:t>182</w:t>
      </w:r>
      <w:r w:rsidR="001D2A88">
        <w:rPr>
          <w:rFonts w:ascii="Arial" w:hAnsi="Arial" w:cs="Arial"/>
          <w:color w:val="000000" w:themeColor="text1"/>
        </w:rPr>
        <w:t xml:space="preserve"> miliard</w:t>
      </w:r>
      <w:r w:rsidR="007A7DDD">
        <w:rPr>
          <w:rFonts w:ascii="Arial" w:hAnsi="Arial" w:cs="Arial"/>
          <w:color w:val="000000" w:themeColor="text1"/>
        </w:rPr>
        <w:t xml:space="preserve"> </w:t>
      </w:r>
      <w:r w:rsidR="008E17C3">
        <w:rPr>
          <w:rFonts w:ascii="Arial" w:hAnsi="Arial" w:cs="Arial"/>
          <w:color w:val="000000" w:themeColor="text1"/>
        </w:rPr>
        <w:t>koru</w:t>
      </w:r>
      <w:r w:rsidR="002B17F9">
        <w:rPr>
          <w:rFonts w:ascii="Arial" w:hAnsi="Arial" w:cs="Arial"/>
          <w:color w:val="000000" w:themeColor="text1"/>
        </w:rPr>
        <w:t xml:space="preserve">n. </w:t>
      </w:r>
      <w:r w:rsidR="00A944A3">
        <w:rPr>
          <w:rFonts w:ascii="Arial" w:hAnsi="Arial" w:cs="Arial"/>
          <w:color w:val="000000" w:themeColor="text1"/>
        </w:rPr>
        <w:t>Oproti srovnatelnému období minulého roku</w:t>
      </w:r>
      <w:r w:rsidR="000A7129">
        <w:rPr>
          <w:rFonts w:ascii="Arial" w:hAnsi="Arial" w:cs="Arial"/>
          <w:color w:val="000000" w:themeColor="text1"/>
        </w:rPr>
        <w:t xml:space="preserve"> </w:t>
      </w:r>
      <w:r w:rsidR="00A944A3">
        <w:rPr>
          <w:rFonts w:ascii="Arial" w:hAnsi="Arial" w:cs="Arial"/>
          <w:color w:val="000000" w:themeColor="text1"/>
        </w:rPr>
        <w:t xml:space="preserve">pak </w:t>
      </w:r>
      <w:r w:rsidR="002B17F9">
        <w:rPr>
          <w:rFonts w:ascii="Arial" w:hAnsi="Arial" w:cs="Arial"/>
          <w:color w:val="000000" w:themeColor="text1"/>
        </w:rPr>
        <w:t>tyto hodnoty představují</w:t>
      </w:r>
      <w:r w:rsidR="00D115CB">
        <w:rPr>
          <w:rFonts w:ascii="Arial" w:hAnsi="Arial" w:cs="Arial"/>
          <w:color w:val="000000" w:themeColor="text1"/>
        </w:rPr>
        <w:t xml:space="preserve"> </w:t>
      </w:r>
      <w:r w:rsidR="00A50C46">
        <w:rPr>
          <w:rFonts w:ascii="Arial" w:hAnsi="Arial" w:cs="Arial"/>
          <w:color w:val="000000" w:themeColor="text1"/>
        </w:rPr>
        <w:t xml:space="preserve">nárůst o </w:t>
      </w:r>
      <w:r w:rsidR="001D074C">
        <w:rPr>
          <w:rFonts w:ascii="Arial" w:hAnsi="Arial" w:cs="Arial"/>
          <w:color w:val="000000" w:themeColor="text1"/>
        </w:rPr>
        <w:t>173,6</w:t>
      </w:r>
      <w:r w:rsidR="00E67968">
        <w:rPr>
          <w:rFonts w:ascii="Arial" w:hAnsi="Arial" w:cs="Arial"/>
          <w:color w:val="000000" w:themeColor="text1"/>
        </w:rPr>
        <w:t xml:space="preserve"> procent</w:t>
      </w:r>
      <w:r w:rsidR="005A5293">
        <w:rPr>
          <w:rFonts w:ascii="Arial" w:hAnsi="Arial" w:cs="Arial"/>
          <w:color w:val="000000" w:themeColor="text1"/>
        </w:rPr>
        <w:t>a</w:t>
      </w:r>
      <w:r w:rsidR="00A50C46">
        <w:rPr>
          <w:rFonts w:ascii="Arial" w:hAnsi="Arial" w:cs="Arial"/>
          <w:color w:val="000000" w:themeColor="text1"/>
        </w:rPr>
        <w:t xml:space="preserve"> v </w:t>
      </w:r>
      <w:r w:rsidR="00E67968">
        <w:rPr>
          <w:rFonts w:ascii="Arial" w:hAnsi="Arial" w:cs="Arial"/>
          <w:color w:val="000000" w:themeColor="text1"/>
        </w:rPr>
        <w:t>počtu</w:t>
      </w:r>
      <w:r w:rsidR="002F583B">
        <w:rPr>
          <w:rFonts w:ascii="Arial" w:hAnsi="Arial" w:cs="Arial"/>
          <w:color w:val="000000" w:themeColor="text1"/>
        </w:rPr>
        <w:t xml:space="preserve"> ukončených soutěží</w:t>
      </w:r>
      <w:r w:rsidR="005F578D">
        <w:rPr>
          <w:rFonts w:ascii="Arial" w:hAnsi="Arial" w:cs="Arial"/>
          <w:color w:val="000000" w:themeColor="text1"/>
        </w:rPr>
        <w:t xml:space="preserve"> a </w:t>
      </w:r>
      <w:r w:rsidR="001D074C">
        <w:rPr>
          <w:rFonts w:ascii="Arial" w:hAnsi="Arial" w:cs="Arial"/>
          <w:color w:val="000000" w:themeColor="text1"/>
        </w:rPr>
        <w:t>o 91,2</w:t>
      </w:r>
      <w:r w:rsidR="005F578D">
        <w:rPr>
          <w:rFonts w:ascii="Arial" w:hAnsi="Arial" w:cs="Arial"/>
          <w:color w:val="000000" w:themeColor="text1"/>
        </w:rPr>
        <w:t xml:space="preserve"> procenta </w:t>
      </w:r>
      <w:r w:rsidR="00464616">
        <w:rPr>
          <w:rFonts w:ascii="Arial" w:hAnsi="Arial" w:cs="Arial"/>
          <w:color w:val="000000" w:themeColor="text1"/>
        </w:rPr>
        <w:t>z hlediska</w:t>
      </w:r>
      <w:r w:rsidR="00A50C46">
        <w:rPr>
          <w:rFonts w:ascii="Arial" w:hAnsi="Arial" w:cs="Arial"/>
          <w:color w:val="000000" w:themeColor="text1"/>
        </w:rPr>
        <w:t xml:space="preserve"> </w:t>
      </w:r>
      <w:r w:rsidR="005F578D">
        <w:rPr>
          <w:rFonts w:ascii="Arial" w:hAnsi="Arial" w:cs="Arial"/>
          <w:color w:val="000000" w:themeColor="text1"/>
        </w:rPr>
        <w:t>objemu investic.</w:t>
      </w:r>
      <w:r w:rsidR="00D115CB">
        <w:rPr>
          <w:rFonts w:ascii="Arial" w:hAnsi="Arial" w:cs="Arial"/>
          <w:color w:val="000000" w:themeColor="text1"/>
        </w:rPr>
        <w:t xml:space="preserve"> </w:t>
      </w:r>
      <w:r w:rsidR="00464616">
        <w:rPr>
          <w:rFonts w:ascii="Arial" w:hAnsi="Arial" w:cs="Arial"/>
          <w:color w:val="000000" w:themeColor="text1"/>
        </w:rPr>
        <w:t xml:space="preserve">Zároveň jde </w:t>
      </w:r>
      <w:r w:rsidR="00FA52CC">
        <w:rPr>
          <w:rFonts w:ascii="Arial" w:hAnsi="Arial" w:cs="Arial"/>
          <w:color w:val="000000" w:themeColor="text1"/>
        </w:rPr>
        <w:t xml:space="preserve">s velkým náskokem </w:t>
      </w:r>
      <w:r w:rsidR="00464616">
        <w:rPr>
          <w:rFonts w:ascii="Arial" w:hAnsi="Arial" w:cs="Arial"/>
          <w:color w:val="000000" w:themeColor="text1"/>
        </w:rPr>
        <w:t>o tříleté maximum počtu zadanýc</w:t>
      </w:r>
      <w:r w:rsidR="00FA52CC">
        <w:rPr>
          <w:rFonts w:ascii="Arial" w:hAnsi="Arial" w:cs="Arial"/>
          <w:color w:val="000000" w:themeColor="text1"/>
        </w:rPr>
        <w:t>h zakázek v prvních sedmi měsících roku</w:t>
      </w:r>
      <w:r w:rsidR="00464616">
        <w:rPr>
          <w:rFonts w:ascii="Arial" w:hAnsi="Arial" w:cs="Arial"/>
          <w:color w:val="000000" w:themeColor="text1"/>
        </w:rPr>
        <w:t xml:space="preserve"> (</w:t>
      </w:r>
      <w:r w:rsidR="00ED7A9C">
        <w:rPr>
          <w:rFonts w:ascii="Arial" w:hAnsi="Arial" w:cs="Arial"/>
          <w:color w:val="000000" w:themeColor="text1"/>
        </w:rPr>
        <w:t xml:space="preserve">rok </w:t>
      </w:r>
      <w:r w:rsidR="00464616">
        <w:rPr>
          <w:rFonts w:ascii="Arial" w:hAnsi="Arial" w:cs="Arial"/>
          <w:color w:val="000000" w:themeColor="text1"/>
        </w:rPr>
        <w:t>2014</w:t>
      </w:r>
      <w:r w:rsidR="00ED7A9C">
        <w:rPr>
          <w:rFonts w:ascii="Arial" w:hAnsi="Arial" w:cs="Arial"/>
          <w:color w:val="000000" w:themeColor="text1"/>
        </w:rPr>
        <w:t>:</w:t>
      </w:r>
      <w:r w:rsidR="00FA52CC">
        <w:rPr>
          <w:rFonts w:ascii="Arial" w:hAnsi="Arial" w:cs="Arial"/>
          <w:color w:val="000000" w:themeColor="text1"/>
        </w:rPr>
        <w:t xml:space="preserve"> 7443</w:t>
      </w:r>
      <w:r w:rsidR="00464616">
        <w:rPr>
          <w:rFonts w:ascii="Arial" w:hAnsi="Arial" w:cs="Arial"/>
          <w:color w:val="000000" w:themeColor="text1"/>
        </w:rPr>
        <w:t xml:space="preserve"> zakázek, 2015</w:t>
      </w:r>
      <w:r w:rsidR="00ED7A9C">
        <w:rPr>
          <w:rFonts w:ascii="Arial" w:hAnsi="Arial" w:cs="Arial"/>
          <w:color w:val="000000" w:themeColor="text1"/>
        </w:rPr>
        <w:t>:</w:t>
      </w:r>
      <w:r w:rsidR="00FA52CC">
        <w:rPr>
          <w:rFonts w:ascii="Arial" w:hAnsi="Arial" w:cs="Arial"/>
          <w:color w:val="000000" w:themeColor="text1"/>
        </w:rPr>
        <w:t xml:space="preserve"> 7852</w:t>
      </w:r>
      <w:r w:rsidR="00464616">
        <w:rPr>
          <w:rFonts w:ascii="Arial" w:hAnsi="Arial" w:cs="Arial"/>
          <w:color w:val="000000" w:themeColor="text1"/>
        </w:rPr>
        <w:t xml:space="preserve"> zakázek, 2016</w:t>
      </w:r>
      <w:r w:rsidR="00ED7A9C">
        <w:rPr>
          <w:rFonts w:ascii="Arial" w:hAnsi="Arial" w:cs="Arial"/>
          <w:color w:val="000000" w:themeColor="text1"/>
        </w:rPr>
        <w:t>:</w:t>
      </w:r>
      <w:r w:rsidR="00FA52CC">
        <w:rPr>
          <w:rFonts w:ascii="Arial" w:hAnsi="Arial" w:cs="Arial"/>
          <w:color w:val="000000" w:themeColor="text1"/>
        </w:rPr>
        <w:t xml:space="preserve"> 5844</w:t>
      </w:r>
      <w:r w:rsidR="00464616">
        <w:rPr>
          <w:rFonts w:ascii="Arial" w:hAnsi="Arial" w:cs="Arial"/>
          <w:color w:val="000000" w:themeColor="text1"/>
        </w:rPr>
        <w:t xml:space="preserve"> zakázek).</w:t>
      </w:r>
      <w:r w:rsidR="00414B24">
        <w:rPr>
          <w:rFonts w:ascii="Arial" w:hAnsi="Arial" w:cs="Arial"/>
          <w:color w:val="000000" w:themeColor="text1"/>
        </w:rPr>
        <w:t xml:space="preserve"> </w:t>
      </w:r>
      <w:r w:rsidR="00E007E5">
        <w:rPr>
          <w:rFonts w:ascii="Arial" w:hAnsi="Arial" w:cs="Arial"/>
          <w:color w:val="000000" w:themeColor="text1"/>
        </w:rPr>
        <w:t>„</w:t>
      </w:r>
      <w:r w:rsidR="00DD3A11" w:rsidRPr="00E007E5">
        <w:rPr>
          <w:rFonts w:ascii="Arial" w:hAnsi="Arial" w:cs="Arial"/>
          <w:i/>
          <w:color w:val="000000" w:themeColor="text1"/>
        </w:rPr>
        <w:t>V prvních sedmi měsících tohoto roku jsme viděli velice výrazný nárůst objemu veřejných investic. Do jisté míry to souvisí i s proinvestiční politikou vlády</w:t>
      </w:r>
      <w:r w:rsidR="00E007E5" w:rsidRPr="00E007E5">
        <w:rPr>
          <w:rFonts w:ascii="Arial" w:hAnsi="Arial" w:cs="Arial"/>
          <w:i/>
          <w:color w:val="000000" w:themeColor="text1"/>
        </w:rPr>
        <w:t xml:space="preserve"> a volbami, které v tomto roce proběhnou.</w:t>
      </w:r>
      <w:r w:rsidR="00E007E5">
        <w:rPr>
          <w:rFonts w:ascii="Arial" w:hAnsi="Arial" w:cs="Arial"/>
          <w:i/>
          <w:color w:val="000000" w:themeColor="text1"/>
        </w:rPr>
        <w:t xml:space="preserve"> Růst veřejných investic je vidět zejména ve stavebnictví, kde se podařilo oživit sektor a vrátit jej k růstu.</w:t>
      </w:r>
      <w:r w:rsidR="00E007E5">
        <w:rPr>
          <w:rFonts w:ascii="Arial" w:hAnsi="Arial" w:cs="Arial"/>
          <w:color w:val="000000" w:themeColor="text1"/>
        </w:rPr>
        <w:t xml:space="preserve">“ uvádí </w:t>
      </w:r>
      <w:r w:rsidR="00E007E5" w:rsidRPr="00E007E5">
        <w:rPr>
          <w:rFonts w:ascii="Arial" w:hAnsi="Arial" w:cs="Arial"/>
          <w:b/>
          <w:color w:val="000000" w:themeColor="text1"/>
        </w:rPr>
        <w:t xml:space="preserve">Jiří Vacek, ředitel analytické společnosti CEEC </w:t>
      </w:r>
      <w:proofErr w:type="spellStart"/>
      <w:r w:rsidR="00E007E5" w:rsidRPr="00E007E5">
        <w:rPr>
          <w:rFonts w:ascii="Arial" w:hAnsi="Arial" w:cs="Arial"/>
          <w:b/>
          <w:color w:val="000000" w:themeColor="text1"/>
        </w:rPr>
        <w:t>Research</w:t>
      </w:r>
      <w:proofErr w:type="spellEnd"/>
      <w:r w:rsidR="00E007E5" w:rsidRPr="00E007E5">
        <w:rPr>
          <w:rFonts w:ascii="Arial" w:hAnsi="Arial" w:cs="Arial"/>
          <w:b/>
          <w:color w:val="000000" w:themeColor="text1"/>
        </w:rPr>
        <w:t>.</w:t>
      </w:r>
      <w:r w:rsidR="00E007E5">
        <w:rPr>
          <w:rFonts w:ascii="Arial" w:hAnsi="Arial" w:cs="Arial"/>
          <w:color w:val="000000" w:themeColor="text1"/>
        </w:rPr>
        <w:t xml:space="preserve"> </w:t>
      </w:r>
      <w:r w:rsidR="00922AEB" w:rsidRPr="003C69F9">
        <w:rPr>
          <w:rFonts w:ascii="Arial" w:hAnsi="Arial" w:cs="Arial"/>
        </w:rPr>
        <w:t xml:space="preserve">Některá zadávací řízení stále </w:t>
      </w:r>
      <w:r w:rsidR="009F7004">
        <w:rPr>
          <w:rFonts w:ascii="Arial" w:hAnsi="Arial" w:cs="Arial"/>
        </w:rPr>
        <w:t>probíhají</w:t>
      </w:r>
      <w:r w:rsidR="00922AEB" w:rsidRPr="003C69F9">
        <w:rPr>
          <w:rFonts w:ascii="Arial" w:hAnsi="Arial" w:cs="Arial"/>
        </w:rPr>
        <w:t>, a proto lze očekávat, že v dalších měsících dojde ješt</w:t>
      </w:r>
      <w:r w:rsidR="00A944A3">
        <w:rPr>
          <w:rFonts w:ascii="Arial" w:hAnsi="Arial" w:cs="Arial"/>
        </w:rPr>
        <w:t>ě k aktualizaci a upřesnění dat.</w:t>
      </w:r>
      <w:r w:rsidR="000A26C3">
        <w:rPr>
          <w:rFonts w:ascii="Arial" w:hAnsi="Arial" w:cs="Arial"/>
        </w:rPr>
        <w:t xml:space="preserve"> </w:t>
      </w:r>
      <w:r w:rsidR="000A26C3" w:rsidRPr="000A26C3">
        <w:rPr>
          <w:i/>
          <w:iCs/>
        </w:rPr>
        <w:t>„</w:t>
      </w:r>
      <w:r w:rsidR="000A26C3" w:rsidRPr="000A26C3">
        <w:rPr>
          <w:rFonts w:ascii="Arial" w:hAnsi="Arial" w:cs="Arial"/>
          <w:i/>
          <w:iCs/>
          <w:color w:val="000000" w:themeColor="text1"/>
        </w:rPr>
        <w:t xml:space="preserve">V roce 2017 došlo v porovnání s předchozím rokem k očekávanému oživení jak v pozemním, tak inženýrským stavitelstvím. </w:t>
      </w:r>
      <w:r w:rsidR="00085DCC">
        <w:rPr>
          <w:rFonts w:ascii="Arial" w:hAnsi="Arial" w:cs="Arial"/>
          <w:i/>
          <w:iCs/>
          <w:color w:val="000000" w:themeColor="text1"/>
        </w:rPr>
        <w:t>Pro další vývoj</w:t>
      </w:r>
      <w:r w:rsidRPr="00F4544E">
        <w:rPr>
          <w:rFonts w:ascii="Arial" w:hAnsi="Arial" w:cs="Arial"/>
          <w:i/>
          <w:iCs/>
          <w:color w:val="000000" w:themeColor="text1"/>
        </w:rPr>
        <w:t xml:space="preserve"> </w:t>
      </w:r>
      <w:r w:rsidRPr="000A26C3">
        <w:rPr>
          <w:rFonts w:ascii="Arial" w:hAnsi="Arial" w:cs="Arial"/>
          <w:i/>
          <w:iCs/>
          <w:color w:val="000000" w:themeColor="text1"/>
        </w:rPr>
        <w:t>v segmentu inženýrského stavitelství</w:t>
      </w:r>
      <w:r w:rsidR="000A26C3" w:rsidRPr="000A26C3">
        <w:rPr>
          <w:rFonts w:ascii="Arial" w:hAnsi="Arial" w:cs="Arial"/>
          <w:i/>
          <w:iCs/>
          <w:color w:val="000000" w:themeColor="text1"/>
        </w:rPr>
        <w:t xml:space="preserve"> považuji za zásadní, aby se hlavním zadavatelům (ŘSD a SŽDC) podařilo rozběhnout velké zakázky, které se v současné době soutěží či připravují k uveřejnění,“</w:t>
      </w:r>
      <w:r w:rsidR="000A26C3">
        <w:rPr>
          <w:rFonts w:ascii="Arial" w:hAnsi="Arial" w:cs="Arial"/>
          <w:color w:val="000000" w:themeColor="text1"/>
        </w:rPr>
        <w:t xml:space="preserve"> říká </w:t>
      </w:r>
      <w:r w:rsidR="000A26C3" w:rsidRPr="002C3BBA">
        <w:rPr>
          <w:rFonts w:ascii="Arial" w:hAnsi="Arial" w:cs="Arial"/>
          <w:b/>
          <w:bCs/>
          <w:color w:val="000000" w:themeColor="text1"/>
        </w:rPr>
        <w:t>Tomáš Hlaváček, obchodní ředitel, COLAS CZ, a.s.</w:t>
      </w:r>
    </w:p>
    <w:p w:rsidR="003D1438" w:rsidRDefault="003D1438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E007E5" w:rsidRDefault="00E007E5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395602" w:rsidRPr="00395602" w:rsidRDefault="00395602" w:rsidP="00395602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</w:pPr>
      <w:r w:rsidRPr="00395602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lastRenderedPageBreak/>
        <w:t>Meziroční změny oznámen</w:t>
      </w:r>
      <w:r w:rsidR="00383743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í o zadání zakázky v le</w:t>
      </w:r>
      <w:r w:rsidR="00093DD9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tech 2016 až 2017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29"/>
        <w:gridCol w:w="1067"/>
        <w:gridCol w:w="1047"/>
        <w:gridCol w:w="1066"/>
        <w:gridCol w:w="1069"/>
        <w:gridCol w:w="1042"/>
        <w:gridCol w:w="1068"/>
      </w:tblGrid>
      <w:tr w:rsidR="00383743" w:rsidTr="00FF68D6">
        <w:trPr>
          <w:cantSplit/>
          <w:trHeight w:val="284"/>
        </w:trPr>
        <w:tc>
          <w:tcPr>
            <w:tcW w:w="2638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Zakázky celkem</w:t>
            </w:r>
          </w:p>
        </w:tc>
        <w:tc>
          <w:tcPr>
            <w:tcW w:w="3180" w:type="dxa"/>
            <w:gridSpan w:val="3"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Počet</w:t>
            </w:r>
          </w:p>
        </w:tc>
        <w:tc>
          <w:tcPr>
            <w:tcW w:w="3179" w:type="dxa"/>
            <w:gridSpan w:val="3"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Hodnota</w:t>
            </w:r>
          </w:p>
        </w:tc>
      </w:tr>
      <w:tr w:rsidR="00383743" w:rsidTr="00FF68D6">
        <w:trPr>
          <w:cantSplit/>
          <w:trHeight w:val="284"/>
        </w:trPr>
        <w:tc>
          <w:tcPr>
            <w:tcW w:w="2638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0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3743" w:rsidRPr="00383743" w:rsidRDefault="00E67968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</w:t>
            </w:r>
            <w:r w:rsidR="00383743"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očet</w:t>
            </w:r>
          </w:p>
        </w:tc>
        <w:tc>
          <w:tcPr>
            <w:tcW w:w="21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mil. Kč</w:t>
            </w:r>
          </w:p>
        </w:tc>
        <w:tc>
          <w:tcPr>
            <w:tcW w:w="21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</w:tr>
      <w:tr w:rsidR="00093DD9" w:rsidTr="00FF68D6">
        <w:trPr>
          <w:cantSplit/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093DD9" w:rsidRPr="00383743" w:rsidRDefault="00093DD9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2016</w:t>
            </w:r>
          </w:p>
        </w:tc>
        <w:tc>
          <w:tcPr>
            <w:tcW w:w="1929" w:type="dxa"/>
            <w:tcBorders>
              <w:top w:val="single" w:sz="4" w:space="0" w:color="auto"/>
              <w:bottom w:val="nil"/>
            </w:tcBorders>
            <w:vAlign w:val="center"/>
          </w:tcPr>
          <w:p w:rsidR="00093DD9" w:rsidRPr="00093DD9" w:rsidRDefault="00093DD9" w:rsidP="00093D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 čtvrtletí</w:t>
            </w:r>
          </w:p>
        </w:tc>
        <w:tc>
          <w:tcPr>
            <w:tcW w:w="1067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093DD9" w:rsidRPr="00093DD9" w:rsidRDefault="00093DD9" w:rsidP="0009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1 995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93DD9" w:rsidRPr="00093DD9" w:rsidRDefault="00093DD9" w:rsidP="00093D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093DD9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093DD9" w:rsidRPr="00093DD9" w:rsidRDefault="00093DD9" w:rsidP="0009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-29,4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093DD9" w:rsidRPr="00093DD9" w:rsidRDefault="00093DD9" w:rsidP="0009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32 241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DD9" w:rsidRPr="00093DD9" w:rsidRDefault="00093DD9" w:rsidP="00093D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093DD9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093DD9" w:rsidRPr="00093DD9" w:rsidRDefault="00093DD9" w:rsidP="0009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-32,5</w:t>
            </w:r>
          </w:p>
        </w:tc>
      </w:tr>
      <w:tr w:rsidR="00093DD9" w:rsidTr="00FF68D6">
        <w:trPr>
          <w:cantSplit/>
          <w:trHeight w:val="284"/>
        </w:trPr>
        <w:tc>
          <w:tcPr>
            <w:tcW w:w="709" w:type="dxa"/>
            <w:vMerge/>
            <w:vAlign w:val="center"/>
          </w:tcPr>
          <w:p w:rsidR="00093DD9" w:rsidRPr="00383743" w:rsidRDefault="00093DD9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bottom w:val="nil"/>
            </w:tcBorders>
            <w:vAlign w:val="center"/>
          </w:tcPr>
          <w:p w:rsidR="00093DD9" w:rsidRPr="00093DD9" w:rsidRDefault="00093DD9" w:rsidP="00093D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 čtvrtletí</w:t>
            </w:r>
          </w:p>
        </w:tc>
        <w:tc>
          <w:tcPr>
            <w:tcW w:w="1067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093DD9" w:rsidRPr="00093DD9" w:rsidRDefault="00093DD9" w:rsidP="0009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2 744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DD9" w:rsidRPr="00093DD9" w:rsidRDefault="00093DD9" w:rsidP="00093D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093DD9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093DD9" w:rsidRPr="00093DD9" w:rsidRDefault="00093DD9" w:rsidP="0009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-23,2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093DD9" w:rsidRPr="00093DD9" w:rsidRDefault="00093DD9" w:rsidP="0009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40 623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DD9" w:rsidRPr="00093DD9" w:rsidRDefault="00093DD9" w:rsidP="00093D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093DD9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093DD9" w:rsidRPr="00093DD9" w:rsidRDefault="00093DD9" w:rsidP="0009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-28,8</w:t>
            </w:r>
          </w:p>
        </w:tc>
      </w:tr>
      <w:tr w:rsidR="00093DD9" w:rsidTr="00FF68D6">
        <w:trPr>
          <w:cantSplit/>
          <w:trHeight w:val="284"/>
        </w:trPr>
        <w:tc>
          <w:tcPr>
            <w:tcW w:w="709" w:type="dxa"/>
            <w:vMerge/>
            <w:vAlign w:val="center"/>
          </w:tcPr>
          <w:p w:rsidR="00093DD9" w:rsidRPr="00383743" w:rsidRDefault="00093DD9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bottom w:val="nil"/>
            </w:tcBorders>
            <w:vAlign w:val="center"/>
          </w:tcPr>
          <w:p w:rsidR="00093DD9" w:rsidRPr="00093DD9" w:rsidRDefault="00093DD9" w:rsidP="00093D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 čtvrtletí</w:t>
            </w:r>
          </w:p>
        </w:tc>
        <w:tc>
          <w:tcPr>
            <w:tcW w:w="1067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093DD9" w:rsidRPr="00093DD9" w:rsidRDefault="00093DD9" w:rsidP="0009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3 039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DD9" w:rsidRPr="00093DD9" w:rsidRDefault="00093DD9" w:rsidP="00093D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093DD9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093DD9" w:rsidRPr="00093DD9" w:rsidRDefault="00093DD9" w:rsidP="0009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-33,1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093DD9" w:rsidRPr="00093DD9" w:rsidRDefault="00093DD9" w:rsidP="0009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60 623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DD9" w:rsidRPr="00093DD9" w:rsidRDefault="00093DD9" w:rsidP="00093D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813FE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093DD9" w:rsidRPr="00093DD9" w:rsidRDefault="00093DD9" w:rsidP="0009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-13,8</w:t>
            </w:r>
          </w:p>
        </w:tc>
      </w:tr>
      <w:tr w:rsidR="00BC358E" w:rsidTr="00FF68D6">
        <w:trPr>
          <w:cantSplit/>
          <w:trHeight w:val="284"/>
        </w:trPr>
        <w:tc>
          <w:tcPr>
            <w:tcW w:w="709" w:type="dxa"/>
            <w:vMerge/>
            <w:vAlign w:val="center"/>
          </w:tcPr>
          <w:p w:rsidR="00BC358E" w:rsidRPr="00383743" w:rsidRDefault="00BC358E" w:rsidP="00BC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  <w:vAlign w:val="center"/>
          </w:tcPr>
          <w:p w:rsidR="00BC358E" w:rsidRPr="00BC358E" w:rsidRDefault="00BC358E" w:rsidP="00BC35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C358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4. čtvrtletí</w:t>
            </w:r>
          </w:p>
        </w:tc>
        <w:tc>
          <w:tcPr>
            <w:tcW w:w="1067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BC358E" w:rsidRPr="00BC358E" w:rsidRDefault="00BC358E" w:rsidP="00BC3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C358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6 256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358E" w:rsidRPr="00BC358E" w:rsidRDefault="00BC358E" w:rsidP="00BC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C358E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BC358E" w:rsidRPr="00BC358E" w:rsidRDefault="00BC358E" w:rsidP="00BC3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C358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+51,2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C358E" w:rsidRPr="00BC358E" w:rsidRDefault="00BC358E" w:rsidP="00BC3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C358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94 524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C358E" w:rsidRPr="00BC358E" w:rsidRDefault="00BC358E" w:rsidP="00BC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C358E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BC358E" w:rsidRPr="00BC358E" w:rsidRDefault="00BC358E" w:rsidP="00BC3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C358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+6,4</w:t>
            </w:r>
          </w:p>
        </w:tc>
      </w:tr>
      <w:tr w:rsidR="00BC358E" w:rsidRPr="006567AA" w:rsidTr="00FF68D6">
        <w:trPr>
          <w:cantSplit/>
          <w:trHeight w:val="284"/>
        </w:trPr>
        <w:tc>
          <w:tcPr>
            <w:tcW w:w="709" w:type="dxa"/>
            <w:vMerge/>
            <w:vAlign w:val="center"/>
          </w:tcPr>
          <w:p w:rsidR="00BC358E" w:rsidRPr="00383743" w:rsidRDefault="00BC358E" w:rsidP="00BC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58E" w:rsidRPr="0019010F" w:rsidRDefault="00BC358E" w:rsidP="00BC358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19010F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Rok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BC358E" w:rsidRPr="0019010F" w:rsidRDefault="00BC358E" w:rsidP="00BC35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19010F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14 034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358E" w:rsidRPr="0019010F" w:rsidRDefault="00BC358E" w:rsidP="00BC3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19010F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BC358E" w:rsidRPr="0019010F" w:rsidRDefault="00BC358E" w:rsidP="00BC35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19010F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-6,9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C358E" w:rsidRPr="0019010F" w:rsidRDefault="00BC358E" w:rsidP="00BC35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19010F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228 012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C358E" w:rsidRPr="0019010F" w:rsidRDefault="00BC358E" w:rsidP="00BC3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19010F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BC358E" w:rsidRPr="0019010F" w:rsidRDefault="00BC358E" w:rsidP="00BC35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19010F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-13,6</w:t>
            </w:r>
          </w:p>
        </w:tc>
      </w:tr>
      <w:tr w:rsidR="00AD4B43" w:rsidRPr="006567AA" w:rsidTr="00FF68D6">
        <w:trPr>
          <w:cantSplit/>
          <w:trHeight w:val="284"/>
        </w:trPr>
        <w:tc>
          <w:tcPr>
            <w:tcW w:w="709" w:type="dxa"/>
            <w:vMerge w:val="restart"/>
            <w:vAlign w:val="center"/>
          </w:tcPr>
          <w:p w:rsidR="00AD4B43" w:rsidRDefault="00AD4B43" w:rsidP="00AD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2017</w:t>
            </w:r>
          </w:p>
        </w:tc>
        <w:tc>
          <w:tcPr>
            <w:tcW w:w="1929" w:type="dxa"/>
            <w:tcBorders>
              <w:top w:val="single" w:sz="4" w:space="0" w:color="auto"/>
              <w:bottom w:val="nil"/>
            </w:tcBorders>
            <w:vAlign w:val="center"/>
          </w:tcPr>
          <w:p w:rsidR="00AD4B43" w:rsidRPr="00AD4B43" w:rsidRDefault="00AD4B43" w:rsidP="00AD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AD4B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 čtvrtletí</w:t>
            </w:r>
          </w:p>
        </w:tc>
        <w:tc>
          <w:tcPr>
            <w:tcW w:w="1067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AD4B43" w:rsidRPr="00AD4B43" w:rsidRDefault="00AD4B43" w:rsidP="00AD4B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AD4B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6 673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4B43" w:rsidRPr="00AD4B43" w:rsidRDefault="00AD4B43" w:rsidP="00AD4B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AD4B4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AD4B43" w:rsidRPr="00AD4B43" w:rsidRDefault="00AD4B43" w:rsidP="00AD4B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AD4B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+234,5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AD4B43" w:rsidRPr="00AD4B43" w:rsidRDefault="00AD4B43" w:rsidP="00AD4B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AD4B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75 397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D4B43" w:rsidRPr="00AD4B43" w:rsidRDefault="00AD4B43" w:rsidP="00AD4B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AD4B4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AD4B43" w:rsidRPr="00AD4B43" w:rsidRDefault="00AD4B43" w:rsidP="00AD4B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AD4B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+133,9</w:t>
            </w:r>
          </w:p>
        </w:tc>
      </w:tr>
      <w:tr w:rsidR="00FF68D6" w:rsidRPr="006567AA" w:rsidTr="00FF68D6">
        <w:trPr>
          <w:cantSplit/>
          <w:trHeight w:val="284"/>
        </w:trPr>
        <w:tc>
          <w:tcPr>
            <w:tcW w:w="709" w:type="dxa"/>
            <w:vMerge/>
            <w:vAlign w:val="center"/>
          </w:tcPr>
          <w:p w:rsidR="00FF68D6" w:rsidRPr="00383743" w:rsidRDefault="00FF68D6" w:rsidP="00AD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  <w:vAlign w:val="center"/>
          </w:tcPr>
          <w:p w:rsidR="00FF68D6" w:rsidRPr="00FF68D6" w:rsidRDefault="00FF68D6" w:rsidP="00FF68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FF68D6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 čtvrtletí</w:t>
            </w:r>
          </w:p>
        </w:tc>
        <w:tc>
          <w:tcPr>
            <w:tcW w:w="1067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FF68D6" w:rsidRPr="00FF68D6" w:rsidRDefault="00FF68D6" w:rsidP="00FF6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FF68D6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5 639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8D6" w:rsidRPr="00FF68D6" w:rsidRDefault="00FF68D6" w:rsidP="00FF68D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FF68D6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FF68D6" w:rsidRPr="00FF68D6" w:rsidRDefault="00FF68D6" w:rsidP="00FF6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FF68D6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+105,5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FF68D6" w:rsidRPr="00FF68D6" w:rsidRDefault="00FF68D6" w:rsidP="00FF6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FF68D6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81 280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F68D6" w:rsidRPr="00FF68D6" w:rsidRDefault="00FF68D6" w:rsidP="00FF68D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FF68D6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FF68D6" w:rsidRPr="00FF68D6" w:rsidRDefault="00FF68D6" w:rsidP="00FF6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FF68D6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+100,1</w:t>
            </w:r>
          </w:p>
        </w:tc>
      </w:tr>
      <w:tr w:rsidR="00FF68D6" w:rsidRPr="006567AA" w:rsidTr="00FF68D6">
        <w:trPr>
          <w:cantSplit/>
          <w:trHeight w:val="284"/>
        </w:trPr>
        <w:tc>
          <w:tcPr>
            <w:tcW w:w="709" w:type="dxa"/>
            <w:vMerge/>
            <w:vAlign w:val="center"/>
          </w:tcPr>
          <w:p w:rsidR="00FF68D6" w:rsidRDefault="00FF68D6" w:rsidP="00AD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8D6" w:rsidRPr="00FF68D6" w:rsidRDefault="00FF68D6" w:rsidP="00FF6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FF68D6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Leden až červenec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FF68D6" w:rsidRPr="00FF68D6" w:rsidRDefault="00FF68D6" w:rsidP="00FF68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FF68D6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15 988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8D6" w:rsidRPr="00FF68D6" w:rsidRDefault="00FF68D6" w:rsidP="00FF68D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FF68D6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FF68D6" w:rsidRPr="00FF68D6" w:rsidRDefault="00FF68D6" w:rsidP="00FF68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FF68D6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+173,6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FF68D6" w:rsidRPr="00FF68D6" w:rsidRDefault="00FF68D6" w:rsidP="00FF68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FF68D6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181 965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F68D6" w:rsidRPr="00FF68D6" w:rsidRDefault="00FF68D6" w:rsidP="00FF68D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FF68D6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FF68D6" w:rsidRPr="00FF68D6" w:rsidRDefault="00FF68D6" w:rsidP="00FF68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FF68D6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+91,2</w:t>
            </w:r>
          </w:p>
        </w:tc>
      </w:tr>
    </w:tbl>
    <w:p w:rsidR="00395602" w:rsidRPr="00395602" w:rsidRDefault="00395602" w:rsidP="00395602">
      <w:pPr>
        <w:spacing w:after="0" w:line="240" w:lineRule="auto"/>
        <w:jc w:val="both"/>
        <w:rPr>
          <w:rFonts w:ascii="Arial" w:eastAsia="Times New Roman" w:hAnsi="Arial" w:cs="Times New Roman"/>
          <w:bCs/>
          <w:sz w:val="16"/>
          <w:szCs w:val="16"/>
          <w:lang w:eastAsia="cs-CZ"/>
        </w:rPr>
      </w:pPr>
      <w:r w:rsidRPr="00395602">
        <w:rPr>
          <w:rFonts w:ascii="Arial" w:eastAsia="Times New Roman" w:hAnsi="Arial" w:cs="Times New Roman"/>
          <w:bCs/>
          <w:sz w:val="16"/>
          <w:szCs w:val="16"/>
          <w:lang w:eastAsia="cs-CZ"/>
        </w:rPr>
        <w:t xml:space="preserve">Zdroj: Věstník veřejných zakázek, výpočty CEEC </w:t>
      </w:r>
      <w:proofErr w:type="spellStart"/>
      <w:r w:rsidRPr="00395602">
        <w:rPr>
          <w:rFonts w:ascii="Arial" w:eastAsia="Times New Roman" w:hAnsi="Arial" w:cs="Times New Roman"/>
          <w:bCs/>
          <w:sz w:val="16"/>
          <w:szCs w:val="16"/>
          <w:lang w:eastAsia="cs-CZ"/>
        </w:rPr>
        <w:t>Research</w:t>
      </w:r>
      <w:proofErr w:type="spellEnd"/>
    </w:p>
    <w:p w:rsidR="0090242E" w:rsidRDefault="0090242E" w:rsidP="00E70784">
      <w:pPr>
        <w:spacing w:after="0" w:line="360" w:lineRule="auto"/>
        <w:rPr>
          <w:rFonts w:ascii="Arial" w:hAnsi="Arial" w:cs="Arial"/>
          <w:color w:val="000000" w:themeColor="text1"/>
        </w:rPr>
      </w:pPr>
    </w:p>
    <w:p w:rsidR="00F17FD2" w:rsidRDefault="00F17FD2" w:rsidP="00F17FD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 červenci roku 2017 vyhlásili veřejní investoři 524 výběrových řízení v celkové hodnotě 22,8 miliardy korun. Oproti srovnatelnému období minulého roku přitom jde o pětinový (21,3 procenta) pokles počtu vyhlášených soutěží a zároveň o bezmála třetinový (31,8 procenta) pokles jejich objemu. Největší výběrové řízení tohoto měsíce</w:t>
      </w:r>
      <w:r w:rsidRPr="001F2AC0">
        <w:rPr>
          <w:rFonts w:ascii="Arial" w:hAnsi="Arial" w:cs="Arial"/>
          <w:color w:val="000000" w:themeColor="text1"/>
        </w:rPr>
        <w:t xml:space="preserve"> v</w:t>
      </w:r>
      <w:r>
        <w:rPr>
          <w:rFonts w:ascii="Arial" w:hAnsi="Arial" w:cs="Arial"/>
          <w:color w:val="000000" w:themeColor="text1"/>
        </w:rPr>
        <w:t xml:space="preserve"> hodnotě 4,6 miliardy korun vypsalo Ministerstvo vnitra ČR </w:t>
      </w:r>
      <w:r w:rsidRPr="001F2AC0">
        <w:rPr>
          <w:rFonts w:ascii="Arial" w:hAnsi="Arial" w:cs="Arial"/>
          <w:color w:val="000000" w:themeColor="text1"/>
        </w:rPr>
        <w:t>na</w:t>
      </w:r>
      <w:r>
        <w:rPr>
          <w:rFonts w:ascii="Arial" w:hAnsi="Arial" w:cs="Arial"/>
          <w:color w:val="000000" w:themeColor="text1"/>
        </w:rPr>
        <w:t xml:space="preserve"> poskytování služeb komunikační infrastruktury</w:t>
      </w:r>
      <w:r w:rsidRPr="00B46BC5">
        <w:rPr>
          <w:rFonts w:ascii="Arial" w:hAnsi="Arial" w:cs="Arial"/>
          <w:color w:val="000000" w:themeColor="text1"/>
        </w:rPr>
        <w:t xml:space="preserve"> veřejné správy</w:t>
      </w:r>
      <w:r>
        <w:rPr>
          <w:rFonts w:ascii="Arial" w:hAnsi="Arial" w:cs="Arial"/>
          <w:color w:val="000000" w:themeColor="text1"/>
        </w:rPr>
        <w:t xml:space="preserve"> (KIVS) v období 2013 až 2017. </w:t>
      </w:r>
    </w:p>
    <w:p w:rsidR="00F17FD2" w:rsidRDefault="00F17FD2" w:rsidP="00F17FD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F17FD2" w:rsidRDefault="00F17FD2" w:rsidP="00F17FD2">
      <w:pPr>
        <w:spacing w:after="0" w:line="360" w:lineRule="auto"/>
        <w:jc w:val="both"/>
      </w:pPr>
      <w:r>
        <w:rPr>
          <w:rFonts w:ascii="Arial" w:hAnsi="Arial" w:cs="Arial"/>
          <w:color w:val="000000" w:themeColor="text1"/>
        </w:rPr>
        <w:t>Od ledna do července letošního roku</w:t>
      </w:r>
      <w:r w:rsidRPr="00E80E1B">
        <w:rPr>
          <w:rFonts w:ascii="Arial" w:hAnsi="Arial" w:cs="Arial"/>
          <w:color w:val="000000" w:themeColor="text1"/>
        </w:rPr>
        <w:t xml:space="preserve"> se ve Věstníku veřejn</w:t>
      </w:r>
      <w:r>
        <w:rPr>
          <w:rFonts w:ascii="Arial" w:hAnsi="Arial" w:cs="Arial"/>
          <w:color w:val="000000" w:themeColor="text1"/>
        </w:rPr>
        <w:t xml:space="preserve">ých zakázek objevilo celkem 4565 soutěží v souhrnné hodnotě 172,5 miliardy korun. V meziročním srovnání se však jedná o šestnáctiprocentní (16,5 procenta) pokles </w:t>
      </w:r>
      <w:r w:rsidRPr="00E80E1B">
        <w:rPr>
          <w:rFonts w:ascii="Arial" w:hAnsi="Arial" w:cs="Arial"/>
          <w:color w:val="000000" w:themeColor="text1"/>
        </w:rPr>
        <w:t>počtu</w:t>
      </w:r>
      <w:r>
        <w:rPr>
          <w:rFonts w:ascii="Arial" w:hAnsi="Arial" w:cs="Arial"/>
          <w:color w:val="000000" w:themeColor="text1"/>
        </w:rPr>
        <w:t xml:space="preserve"> vypsaných výběrových řízení a desetinový (10,1 procenta) pokles objemu vyhlášených veřejných investic. Obě hodnoty zároveň představují rekordní tříleté minimum. Zatímco se však výrazně negativní bilance objemu investic z počátku roku postupně snižuje, meziroční pokles počtu ohlášených soutěží naopak pozvolna narůstá. </w:t>
      </w:r>
      <w:r w:rsidRPr="007408DB">
        <w:rPr>
          <w:rFonts w:ascii="Arial" w:hAnsi="Arial" w:cs="Arial"/>
          <w:i/>
          <w:iCs/>
          <w:color w:val="000000" w:themeColor="text1"/>
        </w:rPr>
        <w:t>„Oblasti veřejných zakázek by velmi pomohlo plánování investic. Stále jsme svědky toho, že v jednom roce se staví v daném segmentu tak, že ani nejde sehnat potřebné kapacity a ve druhém roce investice spadnou na třetinu. Na takovouto houpačku bohužel neumíme reagovat a brání nám to v rozvoji a koncepci společnosti,“</w:t>
      </w:r>
      <w:r>
        <w:rPr>
          <w:rFonts w:ascii="Arial" w:hAnsi="Arial" w:cs="Arial"/>
          <w:color w:val="000000" w:themeColor="text1"/>
        </w:rPr>
        <w:t xml:space="preserve"> říká </w:t>
      </w:r>
      <w:r w:rsidRPr="007408DB">
        <w:rPr>
          <w:rFonts w:ascii="Arial" w:hAnsi="Arial" w:cs="Arial"/>
          <w:b/>
          <w:bCs/>
          <w:color w:val="000000" w:themeColor="text1"/>
        </w:rPr>
        <w:t xml:space="preserve">Radek Mrázek, generální ředitel, místopředseda představenstva, BAK stavební společnost a.s. </w:t>
      </w:r>
      <w:r w:rsidRPr="007408DB">
        <w:rPr>
          <w:rFonts w:ascii="Arial" w:hAnsi="Arial" w:cs="Arial"/>
          <w:i/>
          <w:iCs/>
          <w:color w:val="000000" w:themeColor="text1"/>
        </w:rPr>
        <w:t>„</w:t>
      </w:r>
      <w:r>
        <w:rPr>
          <w:rFonts w:ascii="Arial" w:hAnsi="Arial" w:cs="Arial"/>
          <w:i/>
          <w:iCs/>
          <w:color w:val="000000" w:themeColor="text1"/>
        </w:rPr>
        <w:t>R</w:t>
      </w:r>
      <w:r w:rsidRPr="007408DB">
        <w:rPr>
          <w:rFonts w:ascii="Arial" w:hAnsi="Arial" w:cs="Arial"/>
          <w:i/>
          <w:iCs/>
          <w:color w:val="000000" w:themeColor="text1"/>
        </w:rPr>
        <w:t xml:space="preserve">ozhodně </w:t>
      </w:r>
      <w:r>
        <w:rPr>
          <w:rFonts w:ascii="Arial" w:hAnsi="Arial" w:cs="Arial"/>
          <w:i/>
          <w:iCs/>
          <w:color w:val="000000" w:themeColor="text1"/>
        </w:rPr>
        <w:t xml:space="preserve">by </w:t>
      </w:r>
      <w:r w:rsidRPr="007408DB">
        <w:rPr>
          <w:rFonts w:ascii="Arial" w:hAnsi="Arial" w:cs="Arial"/>
          <w:i/>
          <w:iCs/>
          <w:color w:val="000000" w:themeColor="text1"/>
        </w:rPr>
        <w:t>prospělo schválení a následné dodržování investičních plánů jako vládní priority s milníky a kontrolou plnění napříč resorty,“</w:t>
      </w:r>
      <w:r>
        <w:rPr>
          <w:rFonts w:ascii="Arial" w:hAnsi="Arial" w:cs="Arial"/>
          <w:color w:val="000000" w:themeColor="text1"/>
        </w:rPr>
        <w:t xml:space="preserve"> dodává </w:t>
      </w:r>
      <w:r w:rsidRPr="007408DB">
        <w:rPr>
          <w:rFonts w:ascii="Arial" w:hAnsi="Arial" w:cs="Arial"/>
          <w:b/>
          <w:bCs/>
          <w:color w:val="000000" w:themeColor="text1"/>
        </w:rPr>
        <w:t>Pavel Pilát, generální ředitel, Metrostav a.s.</w:t>
      </w:r>
    </w:p>
    <w:p w:rsidR="00F17FD2" w:rsidRDefault="00F17FD2" w:rsidP="00F17FD2">
      <w:pPr>
        <w:spacing w:after="0" w:line="360" w:lineRule="auto"/>
        <w:jc w:val="both"/>
      </w:pPr>
    </w:p>
    <w:p w:rsidR="00737FAE" w:rsidRPr="000A26C3" w:rsidRDefault="00737FAE" w:rsidP="00F17FD2">
      <w:pPr>
        <w:spacing w:after="0" w:line="360" w:lineRule="auto"/>
        <w:jc w:val="both"/>
      </w:pPr>
    </w:p>
    <w:p w:rsidR="00F17FD2" w:rsidRPr="00931D64" w:rsidRDefault="00F17FD2" w:rsidP="00F17FD2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lang w:eastAsia="cs-CZ"/>
        </w:rPr>
      </w:pPr>
      <w:r w:rsidRPr="00931D64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lastRenderedPageBreak/>
        <w:t xml:space="preserve">Meziroční změny </w:t>
      </w:r>
      <w:r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oznámení o zakázce v letech 2016 až 2017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33"/>
        <w:gridCol w:w="1064"/>
        <w:gridCol w:w="1048"/>
        <w:gridCol w:w="1062"/>
        <w:gridCol w:w="1069"/>
        <w:gridCol w:w="1043"/>
        <w:gridCol w:w="1069"/>
      </w:tblGrid>
      <w:tr w:rsidR="00F17FD2" w:rsidTr="0062659E">
        <w:trPr>
          <w:cantSplit/>
          <w:trHeight w:val="284"/>
        </w:trPr>
        <w:tc>
          <w:tcPr>
            <w:tcW w:w="2642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F17FD2" w:rsidRPr="00383743" w:rsidRDefault="00F17FD2" w:rsidP="00626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Zakázky celkem</w:t>
            </w:r>
          </w:p>
        </w:tc>
        <w:tc>
          <w:tcPr>
            <w:tcW w:w="3174" w:type="dxa"/>
            <w:gridSpan w:val="3"/>
            <w:vAlign w:val="center"/>
          </w:tcPr>
          <w:p w:rsidR="00F17FD2" w:rsidRPr="00383743" w:rsidRDefault="00F17FD2" w:rsidP="00626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Počet</w:t>
            </w:r>
          </w:p>
        </w:tc>
        <w:tc>
          <w:tcPr>
            <w:tcW w:w="3181" w:type="dxa"/>
            <w:gridSpan w:val="3"/>
            <w:vAlign w:val="center"/>
          </w:tcPr>
          <w:p w:rsidR="00F17FD2" w:rsidRPr="00383743" w:rsidRDefault="00F17FD2" w:rsidP="00626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Hodnota</w:t>
            </w:r>
          </w:p>
        </w:tc>
      </w:tr>
      <w:tr w:rsidR="00F17FD2" w:rsidTr="0062659E">
        <w:trPr>
          <w:cantSplit/>
          <w:trHeight w:val="284"/>
        </w:trPr>
        <w:tc>
          <w:tcPr>
            <w:tcW w:w="2642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F17FD2" w:rsidRPr="00383743" w:rsidRDefault="00F17FD2" w:rsidP="00626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7FD2" w:rsidRPr="00383743" w:rsidRDefault="00F17FD2" w:rsidP="00626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</w:t>
            </w: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očet</w:t>
            </w:r>
          </w:p>
        </w:tc>
        <w:tc>
          <w:tcPr>
            <w:tcW w:w="2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D2" w:rsidRPr="00383743" w:rsidRDefault="00F17FD2" w:rsidP="00626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7FD2" w:rsidRPr="00383743" w:rsidRDefault="00F17FD2" w:rsidP="00626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mil. Kč</w:t>
            </w:r>
          </w:p>
        </w:tc>
        <w:tc>
          <w:tcPr>
            <w:tcW w:w="21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7FD2" w:rsidRPr="00383743" w:rsidRDefault="00F17FD2" w:rsidP="00626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</w:tr>
      <w:tr w:rsidR="00F17FD2" w:rsidTr="0062659E">
        <w:trPr>
          <w:cantSplit/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F17FD2" w:rsidRPr="00383743" w:rsidRDefault="00F17FD2" w:rsidP="00626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2016</w:t>
            </w:r>
          </w:p>
        </w:tc>
        <w:tc>
          <w:tcPr>
            <w:tcW w:w="1933" w:type="dxa"/>
            <w:tcBorders>
              <w:top w:val="single" w:sz="4" w:space="0" w:color="auto"/>
              <w:bottom w:val="nil"/>
            </w:tcBorders>
            <w:vAlign w:val="center"/>
          </w:tcPr>
          <w:p w:rsidR="00F17FD2" w:rsidRPr="00093DD9" w:rsidRDefault="00F17FD2" w:rsidP="006265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 čtvrtletí</w:t>
            </w:r>
          </w:p>
        </w:tc>
        <w:tc>
          <w:tcPr>
            <w:tcW w:w="106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F17FD2" w:rsidRPr="00093DD9" w:rsidRDefault="00F17FD2" w:rsidP="00626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2 137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7FD2" w:rsidRPr="00093DD9" w:rsidRDefault="00F17FD2" w:rsidP="0062659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093DD9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F17FD2" w:rsidRPr="00093DD9" w:rsidRDefault="00F17FD2" w:rsidP="00626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+10,3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F17FD2" w:rsidRPr="00093DD9" w:rsidRDefault="00F17FD2" w:rsidP="00626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73 585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17FD2" w:rsidRPr="00093DD9" w:rsidRDefault="00F17FD2" w:rsidP="0062659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093DD9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F17FD2" w:rsidRPr="00093DD9" w:rsidRDefault="00F17FD2" w:rsidP="00626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+26,3</w:t>
            </w:r>
          </w:p>
        </w:tc>
      </w:tr>
      <w:tr w:rsidR="00F17FD2" w:rsidTr="0062659E">
        <w:trPr>
          <w:cantSplit/>
          <w:trHeight w:val="284"/>
        </w:trPr>
        <w:tc>
          <w:tcPr>
            <w:tcW w:w="709" w:type="dxa"/>
            <w:vMerge/>
            <w:vAlign w:val="center"/>
          </w:tcPr>
          <w:p w:rsidR="00F17FD2" w:rsidRPr="00383743" w:rsidRDefault="00F17FD2" w:rsidP="00626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  <w:vAlign w:val="center"/>
          </w:tcPr>
          <w:p w:rsidR="00F17FD2" w:rsidRPr="00093DD9" w:rsidRDefault="00F17FD2" w:rsidP="006265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 čtvrtletí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F17FD2" w:rsidRPr="00093DD9" w:rsidRDefault="00F17FD2" w:rsidP="00626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2 662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7FD2" w:rsidRPr="00093DD9" w:rsidRDefault="00F17FD2" w:rsidP="0062659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093DD9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F17FD2" w:rsidRPr="00093DD9" w:rsidRDefault="00F17FD2" w:rsidP="00626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+20,8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F17FD2" w:rsidRPr="00093DD9" w:rsidRDefault="00F17FD2" w:rsidP="00626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84 872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17FD2" w:rsidRPr="00093DD9" w:rsidRDefault="00F17FD2" w:rsidP="00626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F17FD2" w:rsidRPr="00093DD9" w:rsidRDefault="00F17FD2" w:rsidP="00626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-14,5</w:t>
            </w:r>
          </w:p>
        </w:tc>
      </w:tr>
      <w:tr w:rsidR="00F17FD2" w:rsidTr="0062659E">
        <w:trPr>
          <w:cantSplit/>
          <w:trHeight w:val="284"/>
        </w:trPr>
        <w:tc>
          <w:tcPr>
            <w:tcW w:w="709" w:type="dxa"/>
            <w:vMerge/>
            <w:vAlign w:val="center"/>
          </w:tcPr>
          <w:p w:rsidR="00F17FD2" w:rsidRPr="00383743" w:rsidRDefault="00F17FD2" w:rsidP="00626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  <w:vAlign w:val="center"/>
          </w:tcPr>
          <w:p w:rsidR="00F17FD2" w:rsidRPr="00093DD9" w:rsidRDefault="00F17FD2" w:rsidP="006265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 čtvrtletí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F17FD2" w:rsidRPr="00093DD9" w:rsidRDefault="00F17FD2" w:rsidP="00626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2 781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7FD2" w:rsidRPr="00093DD9" w:rsidRDefault="00F17FD2" w:rsidP="0062659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093DD9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F17FD2" w:rsidRPr="00093DD9" w:rsidRDefault="00F17FD2" w:rsidP="00626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+52,4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F17FD2" w:rsidRPr="00093DD9" w:rsidRDefault="00F17FD2" w:rsidP="00626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196 851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17FD2" w:rsidRPr="00093DD9" w:rsidRDefault="00F17FD2" w:rsidP="0062659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093DD9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F17FD2" w:rsidRPr="00093DD9" w:rsidRDefault="00F17FD2" w:rsidP="00626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+266,5</w:t>
            </w:r>
          </w:p>
        </w:tc>
      </w:tr>
      <w:tr w:rsidR="00F17FD2" w:rsidTr="0062659E">
        <w:trPr>
          <w:cantSplit/>
          <w:trHeight w:val="284"/>
        </w:trPr>
        <w:tc>
          <w:tcPr>
            <w:tcW w:w="709" w:type="dxa"/>
            <w:vMerge/>
            <w:vAlign w:val="center"/>
          </w:tcPr>
          <w:p w:rsidR="00F17FD2" w:rsidRPr="00383743" w:rsidRDefault="00F17FD2" w:rsidP="00626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933" w:type="dxa"/>
            <w:tcBorders>
              <w:top w:val="nil"/>
              <w:bottom w:val="single" w:sz="4" w:space="0" w:color="auto"/>
            </w:tcBorders>
            <w:vAlign w:val="center"/>
          </w:tcPr>
          <w:p w:rsidR="00F17FD2" w:rsidRPr="00093DD9" w:rsidRDefault="00F17FD2" w:rsidP="006265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4. čtvrtletí</w:t>
            </w:r>
          </w:p>
        </w:tc>
        <w:tc>
          <w:tcPr>
            <w:tcW w:w="106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F17FD2" w:rsidRPr="00093DD9" w:rsidRDefault="00F17FD2" w:rsidP="00626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1 264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7FD2" w:rsidRPr="00093DD9" w:rsidRDefault="00F17FD2" w:rsidP="0062659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093DD9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F17FD2" w:rsidRPr="00093DD9" w:rsidRDefault="00F17FD2" w:rsidP="00626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-16,0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F17FD2" w:rsidRPr="00093DD9" w:rsidRDefault="00F17FD2" w:rsidP="00626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33 435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17FD2" w:rsidRPr="00093DD9" w:rsidRDefault="00F17FD2" w:rsidP="0062659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093DD9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F17FD2" w:rsidRPr="00093DD9" w:rsidRDefault="00F17FD2" w:rsidP="00626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-34,2</w:t>
            </w:r>
          </w:p>
        </w:tc>
      </w:tr>
      <w:tr w:rsidR="00F17FD2" w:rsidTr="0062659E">
        <w:trPr>
          <w:cantSplit/>
          <w:trHeight w:val="284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17FD2" w:rsidRPr="00383743" w:rsidRDefault="00F17FD2" w:rsidP="00626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FD2" w:rsidRPr="00093DD9" w:rsidRDefault="00F17FD2" w:rsidP="00626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093DD9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Rok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F17FD2" w:rsidRPr="00662002" w:rsidRDefault="00F17FD2" w:rsidP="00626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662002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8 844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7FD2" w:rsidRPr="00662002" w:rsidRDefault="00F17FD2" w:rsidP="0062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662002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F17FD2" w:rsidRPr="00662002" w:rsidRDefault="00F17FD2" w:rsidP="00626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662002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+18,4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F17FD2" w:rsidRPr="00662002" w:rsidRDefault="00F17FD2" w:rsidP="00626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662002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388 746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17FD2" w:rsidRPr="00662002" w:rsidRDefault="00F17FD2" w:rsidP="0062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662002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F17FD2" w:rsidRPr="00662002" w:rsidRDefault="00F17FD2" w:rsidP="00626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662002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+48,4</w:t>
            </w:r>
          </w:p>
        </w:tc>
      </w:tr>
      <w:tr w:rsidR="00F17FD2" w:rsidTr="0062659E">
        <w:trPr>
          <w:cantSplit/>
          <w:trHeight w:val="284"/>
        </w:trPr>
        <w:tc>
          <w:tcPr>
            <w:tcW w:w="709" w:type="dxa"/>
            <w:vMerge w:val="restart"/>
            <w:vAlign w:val="center"/>
          </w:tcPr>
          <w:p w:rsidR="00F17FD2" w:rsidRDefault="00F17FD2" w:rsidP="00626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2017</w:t>
            </w:r>
          </w:p>
        </w:tc>
        <w:tc>
          <w:tcPr>
            <w:tcW w:w="1933" w:type="dxa"/>
            <w:tcBorders>
              <w:top w:val="single" w:sz="4" w:space="0" w:color="auto"/>
              <w:bottom w:val="nil"/>
            </w:tcBorders>
            <w:vAlign w:val="center"/>
          </w:tcPr>
          <w:p w:rsidR="00F17FD2" w:rsidRPr="008E2106" w:rsidRDefault="00F17FD2" w:rsidP="006265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E2106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 čtvrtletí</w:t>
            </w:r>
          </w:p>
        </w:tc>
        <w:tc>
          <w:tcPr>
            <w:tcW w:w="106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F17FD2" w:rsidRPr="008E2106" w:rsidRDefault="00F17FD2" w:rsidP="00626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E2106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2 026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7FD2" w:rsidRPr="008E2106" w:rsidRDefault="00F17FD2" w:rsidP="0062659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8E2106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F17FD2" w:rsidRPr="008E2106" w:rsidRDefault="00F17FD2" w:rsidP="00626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E2106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-5,2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F17FD2" w:rsidRPr="008E2106" w:rsidRDefault="00F17FD2" w:rsidP="00626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E2106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52 263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17FD2" w:rsidRPr="008E2106" w:rsidRDefault="00F17FD2" w:rsidP="0062659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8E2106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F17FD2" w:rsidRPr="008E2106" w:rsidRDefault="00F17FD2" w:rsidP="00626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E2106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-29,0</w:t>
            </w:r>
          </w:p>
        </w:tc>
      </w:tr>
      <w:tr w:rsidR="00F17FD2" w:rsidTr="0062659E">
        <w:trPr>
          <w:cantSplit/>
          <w:trHeight w:val="284"/>
        </w:trPr>
        <w:tc>
          <w:tcPr>
            <w:tcW w:w="709" w:type="dxa"/>
            <w:vMerge/>
            <w:vAlign w:val="center"/>
          </w:tcPr>
          <w:p w:rsidR="00F17FD2" w:rsidRPr="00383743" w:rsidRDefault="00F17FD2" w:rsidP="00626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933" w:type="dxa"/>
            <w:tcBorders>
              <w:top w:val="nil"/>
              <w:bottom w:val="single" w:sz="4" w:space="0" w:color="auto"/>
            </w:tcBorders>
            <w:vAlign w:val="center"/>
          </w:tcPr>
          <w:p w:rsidR="00F17FD2" w:rsidRPr="00842445" w:rsidRDefault="00F17FD2" w:rsidP="006265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42445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 čtvrtletí</w:t>
            </w:r>
          </w:p>
        </w:tc>
        <w:tc>
          <w:tcPr>
            <w:tcW w:w="106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F17FD2" w:rsidRPr="00842445" w:rsidRDefault="00F17FD2" w:rsidP="00626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42445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2 015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7FD2" w:rsidRPr="00842445" w:rsidRDefault="00F17FD2" w:rsidP="0062659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842445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F17FD2" w:rsidRPr="00842445" w:rsidRDefault="00F17FD2" w:rsidP="00626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42445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-24,3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F17FD2" w:rsidRPr="00842445" w:rsidRDefault="00F17FD2" w:rsidP="00626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42445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97 412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17FD2" w:rsidRPr="00842445" w:rsidRDefault="00F17FD2" w:rsidP="00626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42445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F17FD2" w:rsidRPr="00842445" w:rsidRDefault="00F17FD2" w:rsidP="00626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42445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+14,8</w:t>
            </w:r>
          </w:p>
        </w:tc>
      </w:tr>
      <w:tr w:rsidR="00F17FD2" w:rsidTr="0062659E">
        <w:trPr>
          <w:cantSplit/>
          <w:trHeight w:val="284"/>
        </w:trPr>
        <w:tc>
          <w:tcPr>
            <w:tcW w:w="709" w:type="dxa"/>
            <w:vMerge/>
            <w:vAlign w:val="center"/>
          </w:tcPr>
          <w:p w:rsidR="00F17FD2" w:rsidRDefault="00F17FD2" w:rsidP="00626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FD2" w:rsidRPr="00842445" w:rsidRDefault="00F17FD2" w:rsidP="00626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842445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Leden až červenec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F17FD2" w:rsidRPr="00842445" w:rsidRDefault="00F17FD2" w:rsidP="00626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842445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4 565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7FD2" w:rsidRPr="00842445" w:rsidRDefault="00F17FD2" w:rsidP="0062659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842445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F17FD2" w:rsidRPr="00842445" w:rsidRDefault="00F17FD2" w:rsidP="00626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842445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-16,5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F17FD2" w:rsidRPr="00842445" w:rsidRDefault="00F17FD2" w:rsidP="00626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842445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172 483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17FD2" w:rsidRPr="00842445" w:rsidRDefault="00F17FD2" w:rsidP="0062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842445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F17FD2" w:rsidRPr="00842445" w:rsidRDefault="00F17FD2" w:rsidP="00626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842445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-10,1</w:t>
            </w:r>
          </w:p>
        </w:tc>
      </w:tr>
    </w:tbl>
    <w:p w:rsidR="00F17FD2" w:rsidRPr="00931D64" w:rsidRDefault="00F17FD2" w:rsidP="00F17FD2">
      <w:pPr>
        <w:tabs>
          <w:tab w:val="left" w:pos="4905"/>
        </w:tabs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u w:val="single"/>
          <w:lang w:eastAsia="cs-CZ"/>
        </w:rPr>
      </w:pPr>
      <w:r w:rsidRPr="00931D64">
        <w:rPr>
          <w:rFonts w:ascii="Arial" w:eastAsia="Times New Roman" w:hAnsi="Arial" w:cs="Times New Roman"/>
          <w:bCs/>
          <w:sz w:val="16"/>
          <w:szCs w:val="16"/>
          <w:lang w:eastAsia="cs-CZ"/>
        </w:rPr>
        <w:t xml:space="preserve">Zdroj: Věstník veřejných zakázek, výpočty CEEC </w:t>
      </w:r>
      <w:proofErr w:type="spellStart"/>
      <w:r w:rsidRPr="00931D64">
        <w:rPr>
          <w:rFonts w:ascii="Arial" w:eastAsia="Times New Roman" w:hAnsi="Arial" w:cs="Times New Roman"/>
          <w:bCs/>
          <w:sz w:val="16"/>
          <w:szCs w:val="16"/>
          <w:lang w:eastAsia="cs-CZ"/>
        </w:rPr>
        <w:t>Research</w:t>
      </w:r>
      <w:proofErr w:type="spellEnd"/>
      <w:r>
        <w:rPr>
          <w:rFonts w:ascii="Arial" w:eastAsia="Times New Roman" w:hAnsi="Arial" w:cs="Times New Roman"/>
          <w:bCs/>
          <w:sz w:val="16"/>
          <w:szCs w:val="16"/>
          <w:lang w:eastAsia="cs-CZ"/>
        </w:rPr>
        <w:tab/>
      </w:r>
    </w:p>
    <w:p w:rsidR="00F17FD2" w:rsidRDefault="00F17FD2" w:rsidP="00F17FD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F17FD2" w:rsidRDefault="00F17FD2" w:rsidP="00F17FD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E80E1B">
        <w:rPr>
          <w:rFonts w:ascii="Arial" w:hAnsi="Arial" w:cs="Arial"/>
          <w:color w:val="000000" w:themeColor="text1"/>
        </w:rPr>
        <w:t>Z výše uveden</w:t>
      </w:r>
      <w:r>
        <w:rPr>
          <w:rFonts w:ascii="Arial" w:hAnsi="Arial" w:cs="Arial"/>
          <w:color w:val="000000" w:themeColor="text1"/>
        </w:rPr>
        <w:t>ých výběrových řízení bylo již</w:t>
      </w:r>
      <w:r w:rsidRPr="00E80E1B">
        <w:rPr>
          <w:rFonts w:ascii="Arial" w:hAnsi="Arial" w:cs="Arial"/>
          <w:color w:val="000000" w:themeColor="text1"/>
        </w:rPr>
        <w:t xml:space="preserve"> ukončeno a zadáno konkrétním </w:t>
      </w:r>
      <w:r>
        <w:rPr>
          <w:rFonts w:ascii="Arial" w:hAnsi="Arial" w:cs="Arial"/>
          <w:color w:val="000000" w:themeColor="text1"/>
        </w:rPr>
        <w:t>dodavatelům 27 procent ve vypsané hodnotě 32,1 miliardy</w:t>
      </w:r>
      <w:r w:rsidRPr="00E80E1B">
        <w:rPr>
          <w:rFonts w:ascii="Arial" w:hAnsi="Arial" w:cs="Arial"/>
          <w:color w:val="000000" w:themeColor="text1"/>
        </w:rPr>
        <w:t xml:space="preserve"> korun</w:t>
      </w:r>
      <w:r>
        <w:rPr>
          <w:rFonts w:ascii="Arial" w:hAnsi="Arial" w:cs="Arial"/>
          <w:color w:val="000000" w:themeColor="text1"/>
        </w:rPr>
        <w:t xml:space="preserve">, což představuje 19 procent celkového objemu oznámených soutěží. </w:t>
      </w:r>
      <w:r w:rsidRPr="00E80E1B">
        <w:rPr>
          <w:rFonts w:ascii="Arial" w:hAnsi="Arial" w:cs="Arial"/>
          <w:color w:val="000000" w:themeColor="text1"/>
        </w:rPr>
        <w:t>Po odečtení zadaných a zrušených zakázek</w:t>
      </w:r>
      <w:r>
        <w:rPr>
          <w:rFonts w:ascii="Arial" w:hAnsi="Arial" w:cs="Arial"/>
          <w:color w:val="000000" w:themeColor="text1"/>
        </w:rPr>
        <w:t xml:space="preserve"> (přibližně 7 procent z celkového počtu oznámených soutěží)</w:t>
      </w:r>
      <w:r w:rsidRPr="00E80E1B">
        <w:rPr>
          <w:rFonts w:ascii="Arial" w:hAnsi="Arial" w:cs="Arial"/>
          <w:color w:val="000000" w:themeColor="text1"/>
        </w:rPr>
        <w:t xml:space="preserve"> zbýva</w:t>
      </w:r>
      <w:r>
        <w:rPr>
          <w:rFonts w:ascii="Arial" w:hAnsi="Arial" w:cs="Arial"/>
          <w:color w:val="000000" w:themeColor="text1"/>
        </w:rPr>
        <w:t>jí v systému stále ještě výběrová řízení v hodnotě 127,6 miliardy</w:t>
      </w:r>
      <w:r w:rsidRPr="00E80E1B">
        <w:rPr>
          <w:rFonts w:ascii="Arial" w:hAnsi="Arial" w:cs="Arial"/>
          <w:color w:val="000000" w:themeColor="text1"/>
        </w:rPr>
        <w:t xml:space="preserve"> korun.</w:t>
      </w:r>
    </w:p>
    <w:p w:rsidR="00F17FD2" w:rsidRDefault="00F17FD2" w:rsidP="00F17FD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F17FD2" w:rsidRDefault="00F17FD2" w:rsidP="00F17FD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30502">
        <w:rPr>
          <w:rFonts w:ascii="Arial" w:hAnsi="Arial" w:cs="Arial"/>
          <w:i/>
          <w:iCs/>
          <w:color w:val="000000" w:themeColor="text1"/>
        </w:rPr>
        <w:t>„Ze současného zákona o zadávání veřejných zakázek a z navazujících předpisů a pravid</w:t>
      </w:r>
      <w:r>
        <w:rPr>
          <w:rFonts w:ascii="Arial" w:hAnsi="Arial" w:cs="Arial"/>
          <w:i/>
          <w:iCs/>
          <w:color w:val="000000" w:themeColor="text1"/>
        </w:rPr>
        <w:t>el jako jsou zadávací a obchodní podmínky vyplývá pro</w:t>
      </w:r>
      <w:r w:rsidRPr="00D30502">
        <w:rPr>
          <w:rFonts w:ascii="Arial" w:hAnsi="Arial" w:cs="Arial"/>
          <w:i/>
          <w:iCs/>
          <w:color w:val="000000" w:themeColor="text1"/>
        </w:rPr>
        <w:t xml:space="preserve"> stavebnictví dnešní praxe, kdy pozice objednatele a pozice zhotovitele stavby je značně nevyvážená. Stavební firmy jsou ve snaze získat zakázku a naplnit kapacity tlačeny do velkých rizik, nabízejí práce za ceny, na nichž prodělávají, přistupují na neúměrně dlouhé garanční </w:t>
      </w:r>
      <w:proofErr w:type="gramStart"/>
      <w:r w:rsidRPr="00D30502">
        <w:rPr>
          <w:rFonts w:ascii="Arial" w:hAnsi="Arial" w:cs="Arial"/>
          <w:i/>
          <w:iCs/>
          <w:color w:val="000000" w:themeColor="text1"/>
        </w:rPr>
        <w:t>doby</w:t>
      </w:r>
      <w:proofErr w:type="gramEnd"/>
      <w:r w:rsidRPr="00D30502">
        <w:rPr>
          <w:rFonts w:ascii="Arial" w:hAnsi="Arial" w:cs="Arial"/>
          <w:i/>
          <w:iCs/>
          <w:color w:val="000000" w:themeColor="text1"/>
        </w:rPr>
        <w:t xml:space="preserve"> a tak jsou teď vlastně v situaci, že tlačí problémy před sebou. Pro stavebnictví není dobré to, když jediným kritériem pro rozhodnutí o vítězi je nejnižší cena. Stavba jako výrobek či produkt je ovlivňována celou řadou okolností, které při nejlepší vůli nelze vždy plně v čase postihnout a stanovit přesné náklady není jednoduché. Takže myslím, že by pomohla větší odvaha </w:t>
      </w:r>
      <w:proofErr w:type="gramStart"/>
      <w:r w:rsidRPr="00D30502">
        <w:rPr>
          <w:rFonts w:ascii="Arial" w:hAnsi="Arial" w:cs="Arial"/>
          <w:i/>
          <w:iCs/>
          <w:color w:val="000000" w:themeColor="text1"/>
        </w:rPr>
        <w:t>zákazníků</w:t>
      </w:r>
      <w:proofErr w:type="gramEnd"/>
      <w:r w:rsidRPr="00D30502">
        <w:rPr>
          <w:rFonts w:ascii="Arial" w:hAnsi="Arial" w:cs="Arial"/>
          <w:i/>
          <w:iCs/>
          <w:color w:val="000000" w:themeColor="text1"/>
        </w:rPr>
        <w:t xml:space="preserve"> tj. veřejných investorů přidělovat zakázky soutěžícím, kteří jsou ověření, spolehliví, technicky a technologicky zdatní, mají vlastní kapacity a např. zaměstnávají lidi z regionu a nejen těm, kteří nabídnou při otevření obálek nejnižší cenu. Ve stavebnictví je to díky jeho charakteru jinak než ve většině oborů. Takže v oblasti veřejných zakázek by neškodilo k věci přistupovat podobně jako v privátním sektoru. To nejlevnější nebývá nejlepší,“</w:t>
      </w:r>
      <w:r>
        <w:rPr>
          <w:rFonts w:ascii="Arial" w:hAnsi="Arial" w:cs="Arial"/>
          <w:color w:val="000000" w:themeColor="text1"/>
        </w:rPr>
        <w:t xml:space="preserve"> tvrdí </w:t>
      </w:r>
      <w:r w:rsidRPr="002C3BBA">
        <w:rPr>
          <w:rFonts w:ascii="Arial" w:hAnsi="Arial" w:cs="Arial"/>
          <w:b/>
          <w:bCs/>
          <w:color w:val="000000" w:themeColor="text1"/>
        </w:rPr>
        <w:t>František Fryš, jednatel, SWIETELSKY stavební s.r.o.</w:t>
      </w:r>
    </w:p>
    <w:p w:rsidR="00F17FD2" w:rsidRDefault="00F17FD2" w:rsidP="00E70784">
      <w:pPr>
        <w:spacing w:after="0" w:line="360" w:lineRule="auto"/>
        <w:rPr>
          <w:rFonts w:ascii="Arial" w:hAnsi="Arial" w:cs="Arial"/>
          <w:color w:val="000000" w:themeColor="text1"/>
        </w:rPr>
      </w:pPr>
    </w:p>
    <w:p w:rsidR="0019010F" w:rsidRDefault="0019010F" w:rsidP="0019010F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Partnery analýz veřejných zakázek jsou firmy </w:t>
      </w:r>
      <w:proofErr w:type="spellStart"/>
      <w:r>
        <w:rPr>
          <w:rFonts w:ascii="Arial" w:hAnsi="Arial" w:cs="Arial"/>
          <w:color w:val="000000"/>
        </w:rPr>
        <w:t>Hochtief</w:t>
      </w:r>
      <w:proofErr w:type="spellEnd"/>
      <w:r>
        <w:rPr>
          <w:rFonts w:ascii="Arial" w:hAnsi="Arial" w:cs="Arial"/>
          <w:color w:val="000000"/>
        </w:rPr>
        <w:t xml:space="preserve"> CZ a.s., Skanska a.s., Saint</w:t>
      </w:r>
      <w:r w:rsidR="00ED7A9C">
        <w:rPr>
          <w:rFonts w:ascii="Arial" w:hAnsi="Arial" w:cs="Arial"/>
          <w:color w:val="000000"/>
        </w:rPr>
        <w:t>–</w:t>
      </w:r>
      <w:proofErr w:type="spellStart"/>
      <w:r>
        <w:rPr>
          <w:rFonts w:ascii="Arial" w:hAnsi="Arial" w:cs="Arial"/>
          <w:color w:val="000000"/>
        </w:rPr>
        <w:t>Gobain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ED7A9C" w:rsidRPr="00253309">
        <w:rPr>
          <w:rFonts w:ascii="Arial" w:hAnsi="Arial" w:cs="Arial"/>
          <w:color w:val="000000"/>
        </w:rPr>
        <w:t>Construction</w:t>
      </w:r>
      <w:proofErr w:type="spellEnd"/>
      <w:r w:rsidR="00ED7A9C" w:rsidRPr="00253309">
        <w:rPr>
          <w:rFonts w:ascii="Arial" w:hAnsi="Arial" w:cs="Arial"/>
          <w:color w:val="000000"/>
        </w:rPr>
        <w:t xml:space="preserve"> </w:t>
      </w:r>
      <w:proofErr w:type="spellStart"/>
      <w:r w:rsidR="00ED7A9C" w:rsidRPr="00253309">
        <w:rPr>
          <w:rFonts w:ascii="Arial" w:hAnsi="Arial" w:cs="Arial"/>
          <w:color w:val="000000"/>
        </w:rPr>
        <w:t>Products</w:t>
      </w:r>
      <w:proofErr w:type="spellEnd"/>
      <w:r w:rsidR="00ED7A9C" w:rsidRPr="00253309">
        <w:rPr>
          <w:rFonts w:ascii="Arial" w:hAnsi="Arial" w:cs="Arial"/>
          <w:color w:val="000000"/>
        </w:rPr>
        <w:t xml:space="preserve"> </w:t>
      </w:r>
      <w:r w:rsidRPr="00253309">
        <w:rPr>
          <w:rFonts w:ascii="Arial" w:hAnsi="Arial" w:cs="Arial"/>
          <w:color w:val="000000"/>
        </w:rPr>
        <w:t>CZ</w:t>
      </w:r>
      <w:r>
        <w:rPr>
          <w:rFonts w:ascii="Arial" w:hAnsi="Arial" w:cs="Arial"/>
          <w:color w:val="000000"/>
        </w:rPr>
        <w:t xml:space="preserve"> a.s., CEMEX Czech Republic, s.r.o., </w:t>
      </w:r>
      <w:proofErr w:type="spellStart"/>
      <w:r>
        <w:rPr>
          <w:rFonts w:ascii="Arial" w:hAnsi="Arial" w:cs="Arial"/>
          <w:color w:val="000000"/>
        </w:rPr>
        <w:t>Infram</w:t>
      </w:r>
      <w:proofErr w:type="spellEnd"/>
      <w:r>
        <w:rPr>
          <w:rFonts w:ascii="Arial" w:hAnsi="Arial" w:cs="Arial"/>
          <w:color w:val="000000"/>
        </w:rPr>
        <w:t xml:space="preserve"> a.s., Metrostav a.s., </w:t>
      </w:r>
      <w:proofErr w:type="spellStart"/>
      <w:r>
        <w:rPr>
          <w:rFonts w:ascii="Arial" w:hAnsi="Arial" w:cs="Arial"/>
          <w:color w:val="000000"/>
        </w:rPr>
        <w:t>Pragoprojekt</w:t>
      </w:r>
      <w:proofErr w:type="spellEnd"/>
      <w:r>
        <w:rPr>
          <w:rFonts w:ascii="Arial" w:hAnsi="Arial" w:cs="Arial"/>
          <w:color w:val="000000"/>
        </w:rPr>
        <w:t xml:space="preserve"> a.s., Schindler CZ a.s., Dopravoprojekt a.s., SUDOP G</w:t>
      </w:r>
      <w:r w:rsidR="00ED7A9C">
        <w:rPr>
          <w:rFonts w:ascii="Arial" w:hAnsi="Arial" w:cs="Arial"/>
          <w:color w:val="000000"/>
        </w:rPr>
        <w:t>ROUP a.s.</w:t>
      </w:r>
      <w:proofErr w:type="gramStart"/>
      <w:r w:rsidR="00ED7A9C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 HSF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System</w:t>
      </w:r>
      <w:proofErr w:type="spellEnd"/>
      <w:r>
        <w:rPr>
          <w:rFonts w:ascii="Arial" w:hAnsi="Arial" w:cs="Arial"/>
          <w:color w:val="000000"/>
        </w:rPr>
        <w:t xml:space="preserve"> a.s., KLEMENT a.s., HBH Projekt spol. s r.o.</w:t>
      </w:r>
    </w:p>
    <w:p w:rsidR="00F17FD2" w:rsidRDefault="00F17FD2" w:rsidP="00E70784">
      <w:pPr>
        <w:spacing w:after="0" w:line="360" w:lineRule="auto"/>
        <w:rPr>
          <w:rFonts w:ascii="Arial" w:hAnsi="Arial" w:cs="Arial"/>
          <w:b/>
          <w:color w:val="000000" w:themeColor="text1"/>
        </w:rPr>
      </w:pPr>
    </w:p>
    <w:p w:rsidR="006C7464" w:rsidRDefault="00DC4B47" w:rsidP="00DC4B4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DC4B47">
        <w:rPr>
          <w:rFonts w:ascii="Arial" w:hAnsi="Arial" w:cs="Arial"/>
          <w:b/>
          <w:color w:val="000000" w:themeColor="text1"/>
        </w:rPr>
        <w:t xml:space="preserve">Více na </w:t>
      </w:r>
      <w:hyperlink r:id="rId7" w:history="1">
        <w:r w:rsidRPr="00FD72F5">
          <w:rPr>
            <w:rStyle w:val="Hypertextovodkaz"/>
            <w:rFonts w:ascii="Arial" w:hAnsi="Arial" w:cs="Arial"/>
            <w:b/>
          </w:rPr>
          <w:t>www.ceec.eu</w:t>
        </w:r>
      </w:hyperlink>
    </w:p>
    <w:p w:rsidR="00C968F2" w:rsidRPr="000730D1" w:rsidRDefault="00C968F2" w:rsidP="00C45298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0730D1">
        <w:rPr>
          <w:rFonts w:ascii="Arial" w:hAnsi="Arial" w:cs="Arial"/>
          <w:b/>
          <w:color w:val="000000" w:themeColor="text1"/>
        </w:rPr>
        <w:t>Kontakt pro média:</w:t>
      </w:r>
    </w:p>
    <w:p w:rsidR="00C968F2" w:rsidRPr="000730D1" w:rsidRDefault="00C968F2" w:rsidP="00C45298">
      <w:pPr>
        <w:spacing w:after="0" w:line="240" w:lineRule="auto"/>
        <w:rPr>
          <w:rFonts w:ascii="Arial" w:hAnsi="Arial" w:cs="Arial"/>
          <w:color w:val="000000" w:themeColor="text1"/>
        </w:rPr>
      </w:pPr>
      <w:r w:rsidRPr="000730D1">
        <w:rPr>
          <w:rFonts w:ascii="Arial" w:hAnsi="Arial" w:cs="Arial"/>
          <w:b/>
          <w:color w:val="000000" w:themeColor="text1"/>
        </w:rPr>
        <w:br/>
      </w:r>
      <w:r w:rsidR="00EA19EF" w:rsidRPr="000730D1">
        <w:rPr>
          <w:rFonts w:ascii="Arial" w:hAnsi="Arial" w:cs="Arial"/>
          <w:color w:val="000000"/>
        </w:rPr>
        <w:t>Ing. Jiří Vacek, Ph.D., MIM</w:t>
      </w:r>
      <w:r w:rsidR="00EA19EF" w:rsidRPr="000730D1">
        <w:rPr>
          <w:rFonts w:ascii="Arial" w:hAnsi="Arial" w:cs="Arial"/>
          <w:color w:val="000000"/>
        </w:rPr>
        <w:br/>
        <w:t>Ředitel společnosti</w:t>
      </w:r>
      <w:r w:rsidR="00EA19EF" w:rsidRPr="000730D1">
        <w:rPr>
          <w:rFonts w:ascii="Arial" w:hAnsi="Arial" w:cs="Arial"/>
          <w:color w:val="000000"/>
        </w:rPr>
        <w:br/>
        <w:t xml:space="preserve">CEEC </w:t>
      </w:r>
      <w:proofErr w:type="spellStart"/>
      <w:r w:rsidR="00EA19EF" w:rsidRPr="000730D1">
        <w:rPr>
          <w:rFonts w:ascii="Arial" w:hAnsi="Arial" w:cs="Arial"/>
          <w:color w:val="000000"/>
        </w:rPr>
        <w:t>Research</w:t>
      </w:r>
      <w:proofErr w:type="spellEnd"/>
      <w:r w:rsidR="00EA19EF" w:rsidRPr="000730D1">
        <w:rPr>
          <w:rFonts w:ascii="Arial" w:hAnsi="Arial" w:cs="Arial"/>
          <w:color w:val="000000"/>
        </w:rPr>
        <w:t xml:space="preserve"> s.r.o.</w:t>
      </w:r>
      <w:r w:rsidR="00EA19EF" w:rsidRPr="000730D1">
        <w:rPr>
          <w:rFonts w:ascii="Arial" w:hAnsi="Arial" w:cs="Arial"/>
          <w:color w:val="000000"/>
        </w:rPr>
        <w:br/>
        <w:t>E-mail: vacek@ceec.eu</w:t>
      </w:r>
      <w:r w:rsidR="00EA19EF" w:rsidRPr="000730D1">
        <w:rPr>
          <w:rFonts w:ascii="Arial" w:hAnsi="Arial" w:cs="Arial"/>
          <w:color w:val="000000"/>
        </w:rPr>
        <w:br/>
        <w:t>Tel.: +420 774 325 111</w:t>
      </w:r>
    </w:p>
    <w:p w:rsidR="007C55A2" w:rsidRPr="002603EC" w:rsidRDefault="007C55A2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F0F7B" w:rsidRPr="002603EC" w:rsidRDefault="005F0F7B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2603EC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CEEC </w:t>
      </w:r>
      <w:proofErr w:type="spellStart"/>
      <w:r w:rsidRPr="002603EC">
        <w:rPr>
          <w:rFonts w:ascii="Arial" w:hAnsi="Arial" w:cs="Arial"/>
          <w:b/>
          <w:i/>
          <w:color w:val="000000" w:themeColor="text1"/>
          <w:sz w:val="16"/>
          <w:szCs w:val="16"/>
        </w:rPr>
        <w:t>Research</w:t>
      </w:r>
      <w:proofErr w:type="spellEnd"/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je největší analytickou společností specializující se na stavebnictví, projektový a developerský sektor, strojírenství a oblast veřejných zakázek v zemích střední a východní Evropy. Byla založena v roce 2005 a od té doby bezplatně poskytuje studie o aktuálním stavu a očekávaném vývoji v těchto segmentech v deseti zemích střední a východní Evropy. Všechny studie a analýzy CEEC </w:t>
      </w:r>
      <w:proofErr w:type="spellStart"/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>Research</w:t>
      </w:r>
      <w:proofErr w:type="spellEnd"/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jsou založen</w:t>
      </w:r>
      <w:r w:rsidR="007977DF">
        <w:rPr>
          <w:rFonts w:ascii="Arial" w:hAnsi="Arial" w:cs="Arial"/>
          <w:i/>
          <w:color w:val="000000" w:themeColor="text1"/>
          <w:sz w:val="16"/>
          <w:szCs w:val="16"/>
        </w:rPr>
        <w:t>é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výhradně na údajích získaných z pravidelných strukturovaných interview s klíčovými představiteli vybraných největších, středních i malých společností. </w:t>
      </w: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2603EC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CEEC </w:t>
      </w:r>
      <w:proofErr w:type="spellStart"/>
      <w:r w:rsidRPr="002603EC">
        <w:rPr>
          <w:rFonts w:ascii="Arial" w:hAnsi="Arial" w:cs="Arial"/>
          <w:b/>
          <w:i/>
          <w:color w:val="000000" w:themeColor="text1"/>
          <w:sz w:val="16"/>
          <w:szCs w:val="16"/>
        </w:rPr>
        <w:t>Research</w:t>
      </w:r>
      <w:proofErr w:type="spellEnd"/>
      <w:r w:rsidRPr="002603EC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>navíc k pravidelným a bezplatným analýzám stavebního, projektového, d</w:t>
      </w:r>
      <w:r w:rsidR="00A906AF">
        <w:rPr>
          <w:rFonts w:ascii="Arial" w:hAnsi="Arial" w:cs="Arial"/>
          <w:i/>
          <w:color w:val="000000" w:themeColor="text1"/>
          <w:sz w:val="16"/>
          <w:szCs w:val="16"/>
        </w:rPr>
        <w:t>eveloperského, strojírenského a 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veřejného sektoru také organizuje </w:t>
      </w:r>
      <w:r w:rsidR="00A87DB5"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specializovaně 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>zaměřené konference, kterých se účastní generální ředitelé nejvýznamnějš</w:t>
      </w:r>
      <w:r w:rsidR="006A23EE" w:rsidRPr="002603EC">
        <w:rPr>
          <w:rFonts w:ascii="Arial" w:hAnsi="Arial" w:cs="Arial"/>
          <w:i/>
          <w:color w:val="000000" w:themeColor="text1"/>
          <w:sz w:val="16"/>
          <w:szCs w:val="16"/>
        </w:rPr>
        <w:t>ích stavebních, developerských,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projektových a strojírenských společností, prezidenti svazů,</w:t>
      </w:r>
      <w:r w:rsidR="00F546D9"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cechů a komor z těchto oblastí</w:t>
      </w:r>
      <w:r w:rsidR="00A87DB5" w:rsidRPr="002603EC">
        <w:rPr>
          <w:rFonts w:ascii="Arial" w:hAnsi="Arial" w:cs="Arial"/>
          <w:i/>
          <w:color w:val="000000" w:themeColor="text1"/>
          <w:sz w:val="16"/>
          <w:szCs w:val="16"/>
        </w:rPr>
        <w:t>,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aby diskutovali s nejvyššími představiteli státu vybraných zemí. </w:t>
      </w:r>
    </w:p>
    <w:p w:rsidR="005F0F7B" w:rsidRPr="002603EC" w:rsidRDefault="005F0F7B" w:rsidP="00D66843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0" w:name="_GoBack"/>
      <w:bookmarkEnd w:id="0"/>
    </w:p>
    <w:sectPr w:rsidR="005F0F7B" w:rsidRPr="002603EC" w:rsidSect="00CB19AF">
      <w:headerReference w:type="default" r:id="rId8"/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26C" w:rsidRDefault="0009126C" w:rsidP="00A76E50">
      <w:pPr>
        <w:spacing w:after="0" w:line="240" w:lineRule="auto"/>
      </w:pPr>
      <w:r>
        <w:separator/>
      </w:r>
    </w:p>
  </w:endnote>
  <w:endnote w:type="continuationSeparator" w:id="0">
    <w:p w:rsidR="0009126C" w:rsidRDefault="0009126C" w:rsidP="00A7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anmar Text">
    <w:altName w:val="Times New Roman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26C" w:rsidRDefault="0009126C" w:rsidP="00A76E50">
      <w:pPr>
        <w:spacing w:after="0" w:line="240" w:lineRule="auto"/>
      </w:pPr>
      <w:r>
        <w:separator/>
      </w:r>
    </w:p>
  </w:footnote>
  <w:footnote w:type="continuationSeparator" w:id="0">
    <w:p w:rsidR="0009126C" w:rsidRDefault="0009126C" w:rsidP="00A7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337" w:rsidRDefault="0093333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noProof/>
        <w:color w:val="808080" w:themeColor="background1" w:themeShade="80"/>
        <w:sz w:val="60"/>
        <w:szCs w:val="60"/>
        <w:lang w:eastAsia="cs-CZ"/>
      </w:rPr>
    </w:pPr>
    <w:r>
      <w:rPr>
        <w:b/>
        <w:noProof/>
        <w:color w:val="808080" w:themeColor="background1" w:themeShade="80"/>
        <w:sz w:val="60"/>
        <w:szCs w:val="60"/>
        <w:lang w:eastAsia="cs-CZ"/>
      </w:rPr>
      <w:t xml:space="preserve">                                                       </w:t>
    </w:r>
    <w:r>
      <w:rPr>
        <w:noProof/>
        <w:lang w:eastAsia="zh-CN" w:bidi="mn-Mong-CN"/>
      </w:rPr>
      <w:drawing>
        <wp:anchor distT="0" distB="0" distL="114300" distR="114300" simplePos="0" relativeHeight="251659264" behindDoc="0" locked="0" layoutInCell="1" allowOverlap="1" wp14:anchorId="758FCA44" wp14:editId="284F8259">
          <wp:simplePos x="0" y="0"/>
          <wp:positionH relativeFrom="column">
            <wp:posOffset>-238760</wp:posOffset>
          </wp:positionH>
          <wp:positionV relativeFrom="paragraph">
            <wp:posOffset>-199390</wp:posOffset>
          </wp:positionV>
          <wp:extent cx="1285240" cy="758825"/>
          <wp:effectExtent l="0" t="0" r="0" b="3175"/>
          <wp:wrapSquare wrapText="bothSides"/>
          <wp:docPr id="19" name="obrázek 6" descr="Popis: Popis: Popis: Popis: Popis: Popis: Popis: logo CEEC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opis: Popis: Popis: Popis: Popis: Popis: Popis: logo CEEC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3337" w:rsidRDefault="0076588A" w:rsidP="0029094B">
    <w:pPr>
      <w:pStyle w:val="Zhlav"/>
      <w:tabs>
        <w:tab w:val="clear" w:pos="4536"/>
        <w:tab w:val="clear" w:pos="9072"/>
        <w:tab w:val="left" w:pos="3585"/>
      </w:tabs>
      <w:rPr>
        <w:b/>
        <w:noProof/>
        <w:color w:val="808080" w:themeColor="background1" w:themeShade="80"/>
        <w:sz w:val="60"/>
        <w:szCs w:val="60"/>
        <w:lang w:eastAsia="cs-CZ"/>
      </w:rPr>
    </w:pPr>
    <w:r>
      <w:rPr>
        <w:b/>
        <w:noProof/>
        <w:color w:val="808080" w:themeColor="background1" w:themeShade="80"/>
        <w:sz w:val="60"/>
        <w:szCs w:val="60"/>
        <w:lang w:eastAsia="cs-CZ"/>
      </w:rPr>
      <w:t xml:space="preserve">      </w:t>
    </w:r>
    <w:r w:rsidR="00933337" w:rsidRPr="00484806">
      <w:rPr>
        <w:b/>
        <w:noProof/>
        <w:color w:val="808080" w:themeColor="background1" w:themeShade="80"/>
        <w:sz w:val="60"/>
        <w:szCs w:val="60"/>
        <w:lang w:eastAsia="cs-CZ"/>
      </w:rPr>
      <w:t>Tisková zpráva</w:t>
    </w:r>
  </w:p>
  <w:p w:rsidR="00933337" w:rsidRPr="00AC2D6D" w:rsidRDefault="0093333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color w:val="808080" w:themeColor="background1" w:themeShade="80"/>
        <w:sz w:val="18"/>
        <w:szCs w:val="18"/>
      </w:rPr>
    </w:pPr>
  </w:p>
  <w:p w:rsidR="00933337" w:rsidRDefault="0093333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A2"/>
    <w:rsid w:val="00001257"/>
    <w:rsid w:val="00002781"/>
    <w:rsid w:val="00003552"/>
    <w:rsid w:val="000039CF"/>
    <w:rsid w:val="00003FE0"/>
    <w:rsid w:val="0000424D"/>
    <w:rsid w:val="000110D5"/>
    <w:rsid w:val="00012CB9"/>
    <w:rsid w:val="00014EB4"/>
    <w:rsid w:val="00016986"/>
    <w:rsid w:val="00020C96"/>
    <w:rsid w:val="00021D54"/>
    <w:rsid w:val="0002357B"/>
    <w:rsid w:val="000240BC"/>
    <w:rsid w:val="000243CB"/>
    <w:rsid w:val="00027656"/>
    <w:rsid w:val="00030F20"/>
    <w:rsid w:val="0003155E"/>
    <w:rsid w:val="00034237"/>
    <w:rsid w:val="00040AF2"/>
    <w:rsid w:val="0004318D"/>
    <w:rsid w:val="000431B3"/>
    <w:rsid w:val="00051040"/>
    <w:rsid w:val="00052956"/>
    <w:rsid w:val="00053DE6"/>
    <w:rsid w:val="00055D25"/>
    <w:rsid w:val="00055FC7"/>
    <w:rsid w:val="000601B9"/>
    <w:rsid w:val="000603B3"/>
    <w:rsid w:val="00062F27"/>
    <w:rsid w:val="000633FF"/>
    <w:rsid w:val="00064569"/>
    <w:rsid w:val="0006538F"/>
    <w:rsid w:val="0006685E"/>
    <w:rsid w:val="00067C5F"/>
    <w:rsid w:val="00072FDF"/>
    <w:rsid w:val="00072FE8"/>
    <w:rsid w:val="000730D1"/>
    <w:rsid w:val="00073FC5"/>
    <w:rsid w:val="00076EE1"/>
    <w:rsid w:val="00077A03"/>
    <w:rsid w:val="000803AD"/>
    <w:rsid w:val="00080FA0"/>
    <w:rsid w:val="00084990"/>
    <w:rsid w:val="000853CA"/>
    <w:rsid w:val="00085DCC"/>
    <w:rsid w:val="0009126C"/>
    <w:rsid w:val="00092923"/>
    <w:rsid w:val="0009385E"/>
    <w:rsid w:val="00093D49"/>
    <w:rsid w:val="00093DD9"/>
    <w:rsid w:val="0009543E"/>
    <w:rsid w:val="000957C6"/>
    <w:rsid w:val="000A03AB"/>
    <w:rsid w:val="000A0C73"/>
    <w:rsid w:val="000A26C3"/>
    <w:rsid w:val="000A2E0E"/>
    <w:rsid w:val="000A593D"/>
    <w:rsid w:val="000A7129"/>
    <w:rsid w:val="000B09D7"/>
    <w:rsid w:val="000B0EFB"/>
    <w:rsid w:val="000B1956"/>
    <w:rsid w:val="000B2314"/>
    <w:rsid w:val="000B3A8B"/>
    <w:rsid w:val="000B5DD2"/>
    <w:rsid w:val="000C0093"/>
    <w:rsid w:val="000C079A"/>
    <w:rsid w:val="000C2B3C"/>
    <w:rsid w:val="000C4278"/>
    <w:rsid w:val="000C583F"/>
    <w:rsid w:val="000C5911"/>
    <w:rsid w:val="000C6F7C"/>
    <w:rsid w:val="000C7333"/>
    <w:rsid w:val="000C7B62"/>
    <w:rsid w:val="000D031A"/>
    <w:rsid w:val="000D3395"/>
    <w:rsid w:val="000D45D3"/>
    <w:rsid w:val="000D5D1B"/>
    <w:rsid w:val="000D5EC9"/>
    <w:rsid w:val="000D799A"/>
    <w:rsid w:val="000E0530"/>
    <w:rsid w:val="000E0920"/>
    <w:rsid w:val="000E0FE0"/>
    <w:rsid w:val="000E13CB"/>
    <w:rsid w:val="000E18ED"/>
    <w:rsid w:val="000E23D5"/>
    <w:rsid w:val="000E2F47"/>
    <w:rsid w:val="000E369F"/>
    <w:rsid w:val="000E620E"/>
    <w:rsid w:val="000E71B9"/>
    <w:rsid w:val="000F03A2"/>
    <w:rsid w:val="000F477A"/>
    <w:rsid w:val="000F4820"/>
    <w:rsid w:val="000F58C9"/>
    <w:rsid w:val="000F5D71"/>
    <w:rsid w:val="001037D9"/>
    <w:rsid w:val="00104140"/>
    <w:rsid w:val="00104FFE"/>
    <w:rsid w:val="00105B57"/>
    <w:rsid w:val="00106389"/>
    <w:rsid w:val="00110295"/>
    <w:rsid w:val="001111BA"/>
    <w:rsid w:val="00111C2C"/>
    <w:rsid w:val="001131DD"/>
    <w:rsid w:val="00113FDE"/>
    <w:rsid w:val="00116FFB"/>
    <w:rsid w:val="00117246"/>
    <w:rsid w:val="00120111"/>
    <w:rsid w:val="001210D4"/>
    <w:rsid w:val="00121151"/>
    <w:rsid w:val="00122E6D"/>
    <w:rsid w:val="001238BB"/>
    <w:rsid w:val="00125253"/>
    <w:rsid w:val="0012555E"/>
    <w:rsid w:val="00127951"/>
    <w:rsid w:val="0013030A"/>
    <w:rsid w:val="00130900"/>
    <w:rsid w:val="001346AF"/>
    <w:rsid w:val="001350E0"/>
    <w:rsid w:val="00140F9C"/>
    <w:rsid w:val="00143695"/>
    <w:rsid w:val="001536EE"/>
    <w:rsid w:val="001566B9"/>
    <w:rsid w:val="00162187"/>
    <w:rsid w:val="00164D20"/>
    <w:rsid w:val="0016567C"/>
    <w:rsid w:val="00166DEA"/>
    <w:rsid w:val="00172C66"/>
    <w:rsid w:val="001732A9"/>
    <w:rsid w:val="00180560"/>
    <w:rsid w:val="001854A9"/>
    <w:rsid w:val="0018743F"/>
    <w:rsid w:val="00187B1C"/>
    <w:rsid w:val="0019010F"/>
    <w:rsid w:val="00196346"/>
    <w:rsid w:val="0019645D"/>
    <w:rsid w:val="00197FD3"/>
    <w:rsid w:val="001A281A"/>
    <w:rsid w:val="001A6A6E"/>
    <w:rsid w:val="001A6E29"/>
    <w:rsid w:val="001B4071"/>
    <w:rsid w:val="001B4354"/>
    <w:rsid w:val="001B76D5"/>
    <w:rsid w:val="001C6C27"/>
    <w:rsid w:val="001C6F33"/>
    <w:rsid w:val="001C7E05"/>
    <w:rsid w:val="001D014A"/>
    <w:rsid w:val="001D038A"/>
    <w:rsid w:val="001D063E"/>
    <w:rsid w:val="001D074C"/>
    <w:rsid w:val="001D0C46"/>
    <w:rsid w:val="001D2A88"/>
    <w:rsid w:val="001D36EB"/>
    <w:rsid w:val="001D5798"/>
    <w:rsid w:val="001D649E"/>
    <w:rsid w:val="001D7988"/>
    <w:rsid w:val="001D7AEC"/>
    <w:rsid w:val="001D7BFD"/>
    <w:rsid w:val="001E06F0"/>
    <w:rsid w:val="001E446E"/>
    <w:rsid w:val="001E715E"/>
    <w:rsid w:val="001F117F"/>
    <w:rsid w:val="001F128B"/>
    <w:rsid w:val="001F188B"/>
    <w:rsid w:val="001F22BC"/>
    <w:rsid w:val="001F2AC0"/>
    <w:rsid w:val="001F2F78"/>
    <w:rsid w:val="00200D14"/>
    <w:rsid w:val="002021AC"/>
    <w:rsid w:val="00202AF9"/>
    <w:rsid w:val="00203217"/>
    <w:rsid w:val="00211533"/>
    <w:rsid w:val="00212725"/>
    <w:rsid w:val="00214818"/>
    <w:rsid w:val="00215C0D"/>
    <w:rsid w:val="00215FEE"/>
    <w:rsid w:val="00223578"/>
    <w:rsid w:val="002240EE"/>
    <w:rsid w:val="002253BD"/>
    <w:rsid w:val="002262A5"/>
    <w:rsid w:val="0023367D"/>
    <w:rsid w:val="00233D6F"/>
    <w:rsid w:val="002353AC"/>
    <w:rsid w:val="00237274"/>
    <w:rsid w:val="00237E98"/>
    <w:rsid w:val="002450D2"/>
    <w:rsid w:val="00247E30"/>
    <w:rsid w:val="00253309"/>
    <w:rsid w:val="00253B0D"/>
    <w:rsid w:val="00253FC8"/>
    <w:rsid w:val="00255540"/>
    <w:rsid w:val="002560EF"/>
    <w:rsid w:val="00256358"/>
    <w:rsid w:val="00257FF1"/>
    <w:rsid w:val="002603EC"/>
    <w:rsid w:val="00260DD4"/>
    <w:rsid w:val="0026229F"/>
    <w:rsid w:val="002624D1"/>
    <w:rsid w:val="00263565"/>
    <w:rsid w:val="0026597A"/>
    <w:rsid w:val="002678EB"/>
    <w:rsid w:val="00271171"/>
    <w:rsid w:val="00275AD4"/>
    <w:rsid w:val="00276B91"/>
    <w:rsid w:val="002818F3"/>
    <w:rsid w:val="00284502"/>
    <w:rsid w:val="00285181"/>
    <w:rsid w:val="00286E6D"/>
    <w:rsid w:val="0029094B"/>
    <w:rsid w:val="0029141A"/>
    <w:rsid w:val="0029157C"/>
    <w:rsid w:val="00291BA0"/>
    <w:rsid w:val="00293553"/>
    <w:rsid w:val="002943A5"/>
    <w:rsid w:val="00294841"/>
    <w:rsid w:val="002970C3"/>
    <w:rsid w:val="00297D3C"/>
    <w:rsid w:val="002A0398"/>
    <w:rsid w:val="002A05C0"/>
    <w:rsid w:val="002A0D8C"/>
    <w:rsid w:val="002A2466"/>
    <w:rsid w:val="002A43FD"/>
    <w:rsid w:val="002A59E2"/>
    <w:rsid w:val="002A6CC8"/>
    <w:rsid w:val="002A7632"/>
    <w:rsid w:val="002A7D2C"/>
    <w:rsid w:val="002B11B5"/>
    <w:rsid w:val="002B17F9"/>
    <w:rsid w:val="002B1925"/>
    <w:rsid w:val="002B2FFB"/>
    <w:rsid w:val="002B3053"/>
    <w:rsid w:val="002B69EB"/>
    <w:rsid w:val="002B7003"/>
    <w:rsid w:val="002C1116"/>
    <w:rsid w:val="002C1E4C"/>
    <w:rsid w:val="002C2C67"/>
    <w:rsid w:val="002C376E"/>
    <w:rsid w:val="002C3BBA"/>
    <w:rsid w:val="002C5F1D"/>
    <w:rsid w:val="002C6870"/>
    <w:rsid w:val="002C6D04"/>
    <w:rsid w:val="002D00D5"/>
    <w:rsid w:val="002D1105"/>
    <w:rsid w:val="002D1D8C"/>
    <w:rsid w:val="002D797F"/>
    <w:rsid w:val="002E1B68"/>
    <w:rsid w:val="002E1CCD"/>
    <w:rsid w:val="002E3250"/>
    <w:rsid w:val="002E36F3"/>
    <w:rsid w:val="002E6321"/>
    <w:rsid w:val="002F3CFF"/>
    <w:rsid w:val="002F401B"/>
    <w:rsid w:val="002F4639"/>
    <w:rsid w:val="002F4916"/>
    <w:rsid w:val="002F5151"/>
    <w:rsid w:val="002F583B"/>
    <w:rsid w:val="002F5850"/>
    <w:rsid w:val="002F7E3F"/>
    <w:rsid w:val="003001E4"/>
    <w:rsid w:val="003008A7"/>
    <w:rsid w:val="003014FD"/>
    <w:rsid w:val="003016AD"/>
    <w:rsid w:val="00306C4F"/>
    <w:rsid w:val="00311898"/>
    <w:rsid w:val="00311BF9"/>
    <w:rsid w:val="00315AA1"/>
    <w:rsid w:val="003171DE"/>
    <w:rsid w:val="00317CBD"/>
    <w:rsid w:val="00320FF8"/>
    <w:rsid w:val="0032211F"/>
    <w:rsid w:val="00324918"/>
    <w:rsid w:val="00325137"/>
    <w:rsid w:val="003267D4"/>
    <w:rsid w:val="00326977"/>
    <w:rsid w:val="00327098"/>
    <w:rsid w:val="00332723"/>
    <w:rsid w:val="00332EC1"/>
    <w:rsid w:val="00335483"/>
    <w:rsid w:val="00336791"/>
    <w:rsid w:val="0034077B"/>
    <w:rsid w:val="003409B3"/>
    <w:rsid w:val="00341337"/>
    <w:rsid w:val="00343FE1"/>
    <w:rsid w:val="00344500"/>
    <w:rsid w:val="00345FAA"/>
    <w:rsid w:val="00346166"/>
    <w:rsid w:val="0034764A"/>
    <w:rsid w:val="00350B86"/>
    <w:rsid w:val="00352DA2"/>
    <w:rsid w:val="003542E3"/>
    <w:rsid w:val="00355142"/>
    <w:rsid w:val="003567AD"/>
    <w:rsid w:val="00357CBB"/>
    <w:rsid w:val="00360C25"/>
    <w:rsid w:val="00367B43"/>
    <w:rsid w:val="00370AF8"/>
    <w:rsid w:val="00370B08"/>
    <w:rsid w:val="00373643"/>
    <w:rsid w:val="003747F5"/>
    <w:rsid w:val="003756AA"/>
    <w:rsid w:val="00376974"/>
    <w:rsid w:val="00376E15"/>
    <w:rsid w:val="00383358"/>
    <w:rsid w:val="00383743"/>
    <w:rsid w:val="00383BDC"/>
    <w:rsid w:val="00387314"/>
    <w:rsid w:val="00387937"/>
    <w:rsid w:val="00390E15"/>
    <w:rsid w:val="003953D3"/>
    <w:rsid w:val="00395602"/>
    <w:rsid w:val="003964E1"/>
    <w:rsid w:val="003A02C1"/>
    <w:rsid w:val="003A14B6"/>
    <w:rsid w:val="003A181B"/>
    <w:rsid w:val="003A3283"/>
    <w:rsid w:val="003A3434"/>
    <w:rsid w:val="003A4007"/>
    <w:rsid w:val="003A4732"/>
    <w:rsid w:val="003A4FD1"/>
    <w:rsid w:val="003A6F3A"/>
    <w:rsid w:val="003A7A48"/>
    <w:rsid w:val="003A7E88"/>
    <w:rsid w:val="003B2226"/>
    <w:rsid w:val="003B24B6"/>
    <w:rsid w:val="003B2E18"/>
    <w:rsid w:val="003B78AB"/>
    <w:rsid w:val="003B78E0"/>
    <w:rsid w:val="003C0E99"/>
    <w:rsid w:val="003C3BC4"/>
    <w:rsid w:val="003C5FC8"/>
    <w:rsid w:val="003C69F9"/>
    <w:rsid w:val="003C773D"/>
    <w:rsid w:val="003C795B"/>
    <w:rsid w:val="003D1438"/>
    <w:rsid w:val="003D47EA"/>
    <w:rsid w:val="003D48F8"/>
    <w:rsid w:val="003D630D"/>
    <w:rsid w:val="003D7292"/>
    <w:rsid w:val="003E19D7"/>
    <w:rsid w:val="003E3B49"/>
    <w:rsid w:val="003E3DE2"/>
    <w:rsid w:val="003E3F4A"/>
    <w:rsid w:val="003E40D1"/>
    <w:rsid w:val="003E77A1"/>
    <w:rsid w:val="003F1964"/>
    <w:rsid w:val="003F203A"/>
    <w:rsid w:val="003F375F"/>
    <w:rsid w:val="003F42AA"/>
    <w:rsid w:val="003F59F4"/>
    <w:rsid w:val="003F7C6F"/>
    <w:rsid w:val="00401C39"/>
    <w:rsid w:val="00402D9F"/>
    <w:rsid w:val="0040443F"/>
    <w:rsid w:val="00414B24"/>
    <w:rsid w:val="0041515B"/>
    <w:rsid w:val="0042131A"/>
    <w:rsid w:val="00422A81"/>
    <w:rsid w:val="00426A92"/>
    <w:rsid w:val="004316C7"/>
    <w:rsid w:val="00433364"/>
    <w:rsid w:val="0043543D"/>
    <w:rsid w:val="004370C0"/>
    <w:rsid w:val="00437237"/>
    <w:rsid w:val="00437D6C"/>
    <w:rsid w:val="00441736"/>
    <w:rsid w:val="0044390B"/>
    <w:rsid w:val="00443F0A"/>
    <w:rsid w:val="004442F6"/>
    <w:rsid w:val="0044519F"/>
    <w:rsid w:val="004462F7"/>
    <w:rsid w:val="00446B31"/>
    <w:rsid w:val="00446BD0"/>
    <w:rsid w:val="0045037D"/>
    <w:rsid w:val="004503E6"/>
    <w:rsid w:val="00451891"/>
    <w:rsid w:val="00454A85"/>
    <w:rsid w:val="00460C42"/>
    <w:rsid w:val="0046114D"/>
    <w:rsid w:val="00461766"/>
    <w:rsid w:val="00464616"/>
    <w:rsid w:val="00466AB9"/>
    <w:rsid w:val="00471F4D"/>
    <w:rsid w:val="00475411"/>
    <w:rsid w:val="00476370"/>
    <w:rsid w:val="00476F5C"/>
    <w:rsid w:val="00476F87"/>
    <w:rsid w:val="00477E8F"/>
    <w:rsid w:val="00480A99"/>
    <w:rsid w:val="00481DB4"/>
    <w:rsid w:val="00485B59"/>
    <w:rsid w:val="004861FD"/>
    <w:rsid w:val="00490688"/>
    <w:rsid w:val="004907FF"/>
    <w:rsid w:val="00492AE9"/>
    <w:rsid w:val="00493E4C"/>
    <w:rsid w:val="00494BCC"/>
    <w:rsid w:val="00494EF8"/>
    <w:rsid w:val="0049504A"/>
    <w:rsid w:val="00497129"/>
    <w:rsid w:val="00497963"/>
    <w:rsid w:val="00497993"/>
    <w:rsid w:val="004A0102"/>
    <w:rsid w:val="004A0F96"/>
    <w:rsid w:val="004A1A95"/>
    <w:rsid w:val="004A3262"/>
    <w:rsid w:val="004A5258"/>
    <w:rsid w:val="004A545D"/>
    <w:rsid w:val="004A559E"/>
    <w:rsid w:val="004A714A"/>
    <w:rsid w:val="004B0D3D"/>
    <w:rsid w:val="004B21C6"/>
    <w:rsid w:val="004B2FEB"/>
    <w:rsid w:val="004B482B"/>
    <w:rsid w:val="004B5A3E"/>
    <w:rsid w:val="004B6355"/>
    <w:rsid w:val="004C14E3"/>
    <w:rsid w:val="004C778E"/>
    <w:rsid w:val="004D36AE"/>
    <w:rsid w:val="004D3CE0"/>
    <w:rsid w:val="004D75BF"/>
    <w:rsid w:val="004D7BC0"/>
    <w:rsid w:val="004E144C"/>
    <w:rsid w:val="004E20ED"/>
    <w:rsid w:val="004E468A"/>
    <w:rsid w:val="004E474E"/>
    <w:rsid w:val="004F1468"/>
    <w:rsid w:val="004F4146"/>
    <w:rsid w:val="004F51DD"/>
    <w:rsid w:val="004F5B25"/>
    <w:rsid w:val="004F5B5A"/>
    <w:rsid w:val="00504492"/>
    <w:rsid w:val="005065B9"/>
    <w:rsid w:val="005073A6"/>
    <w:rsid w:val="0051183B"/>
    <w:rsid w:val="00511B85"/>
    <w:rsid w:val="0051332B"/>
    <w:rsid w:val="005171E3"/>
    <w:rsid w:val="00517883"/>
    <w:rsid w:val="0052175E"/>
    <w:rsid w:val="00524ADB"/>
    <w:rsid w:val="00530536"/>
    <w:rsid w:val="00530B9B"/>
    <w:rsid w:val="00530C65"/>
    <w:rsid w:val="00532BE3"/>
    <w:rsid w:val="005340FE"/>
    <w:rsid w:val="00535FE7"/>
    <w:rsid w:val="00536079"/>
    <w:rsid w:val="005376DC"/>
    <w:rsid w:val="00540E43"/>
    <w:rsid w:val="00542899"/>
    <w:rsid w:val="00542B49"/>
    <w:rsid w:val="00542B8A"/>
    <w:rsid w:val="00542D5D"/>
    <w:rsid w:val="00543120"/>
    <w:rsid w:val="0054334B"/>
    <w:rsid w:val="00545502"/>
    <w:rsid w:val="00545869"/>
    <w:rsid w:val="0054668A"/>
    <w:rsid w:val="0054748B"/>
    <w:rsid w:val="00547A99"/>
    <w:rsid w:val="0055065F"/>
    <w:rsid w:val="00551A6D"/>
    <w:rsid w:val="005527AA"/>
    <w:rsid w:val="005556C1"/>
    <w:rsid w:val="00555D33"/>
    <w:rsid w:val="00562CAD"/>
    <w:rsid w:val="00562E2E"/>
    <w:rsid w:val="00565634"/>
    <w:rsid w:val="005677BC"/>
    <w:rsid w:val="0057102C"/>
    <w:rsid w:val="0057145D"/>
    <w:rsid w:val="0057268D"/>
    <w:rsid w:val="005733C7"/>
    <w:rsid w:val="00574400"/>
    <w:rsid w:val="005826BC"/>
    <w:rsid w:val="00584A1E"/>
    <w:rsid w:val="0058771B"/>
    <w:rsid w:val="005912D0"/>
    <w:rsid w:val="005912F8"/>
    <w:rsid w:val="005969A3"/>
    <w:rsid w:val="00596BCB"/>
    <w:rsid w:val="005A262C"/>
    <w:rsid w:val="005A2DC8"/>
    <w:rsid w:val="005A3C5A"/>
    <w:rsid w:val="005A4048"/>
    <w:rsid w:val="005A498E"/>
    <w:rsid w:val="005A4F0E"/>
    <w:rsid w:val="005A5293"/>
    <w:rsid w:val="005A6CE2"/>
    <w:rsid w:val="005B03B8"/>
    <w:rsid w:val="005B1F4D"/>
    <w:rsid w:val="005B286F"/>
    <w:rsid w:val="005B4980"/>
    <w:rsid w:val="005B4B98"/>
    <w:rsid w:val="005B55AB"/>
    <w:rsid w:val="005C03A3"/>
    <w:rsid w:val="005C0FA8"/>
    <w:rsid w:val="005C2533"/>
    <w:rsid w:val="005C7342"/>
    <w:rsid w:val="005D0E7A"/>
    <w:rsid w:val="005D15C7"/>
    <w:rsid w:val="005D32BF"/>
    <w:rsid w:val="005D3E08"/>
    <w:rsid w:val="005D6391"/>
    <w:rsid w:val="005E25F4"/>
    <w:rsid w:val="005E2954"/>
    <w:rsid w:val="005E295F"/>
    <w:rsid w:val="005E30D6"/>
    <w:rsid w:val="005E5D45"/>
    <w:rsid w:val="005E76DC"/>
    <w:rsid w:val="005E7D50"/>
    <w:rsid w:val="005E7F75"/>
    <w:rsid w:val="005F0023"/>
    <w:rsid w:val="005F01F8"/>
    <w:rsid w:val="005F0F7B"/>
    <w:rsid w:val="005F208B"/>
    <w:rsid w:val="005F436D"/>
    <w:rsid w:val="005F49DC"/>
    <w:rsid w:val="005F4CAE"/>
    <w:rsid w:val="005F515D"/>
    <w:rsid w:val="005F578D"/>
    <w:rsid w:val="00602228"/>
    <w:rsid w:val="00602EB8"/>
    <w:rsid w:val="006033B0"/>
    <w:rsid w:val="0060359F"/>
    <w:rsid w:val="00604DB7"/>
    <w:rsid w:val="00605FD4"/>
    <w:rsid w:val="00607F68"/>
    <w:rsid w:val="006134B4"/>
    <w:rsid w:val="006154D2"/>
    <w:rsid w:val="00616903"/>
    <w:rsid w:val="0062321A"/>
    <w:rsid w:val="00623FBE"/>
    <w:rsid w:val="00625010"/>
    <w:rsid w:val="00627790"/>
    <w:rsid w:val="0063016B"/>
    <w:rsid w:val="00631B69"/>
    <w:rsid w:val="00635232"/>
    <w:rsid w:val="00635D42"/>
    <w:rsid w:val="0063643D"/>
    <w:rsid w:val="0063751A"/>
    <w:rsid w:val="00637A4B"/>
    <w:rsid w:val="00640BE6"/>
    <w:rsid w:val="00641BC9"/>
    <w:rsid w:val="00642BCC"/>
    <w:rsid w:val="006438A3"/>
    <w:rsid w:val="00643A99"/>
    <w:rsid w:val="00645651"/>
    <w:rsid w:val="006527AC"/>
    <w:rsid w:val="00655A07"/>
    <w:rsid w:val="00655C78"/>
    <w:rsid w:val="0065684B"/>
    <w:rsid w:val="00656C38"/>
    <w:rsid w:val="00657E0A"/>
    <w:rsid w:val="0066111C"/>
    <w:rsid w:val="00661312"/>
    <w:rsid w:val="00662002"/>
    <w:rsid w:val="00664729"/>
    <w:rsid w:val="00665412"/>
    <w:rsid w:val="006655F2"/>
    <w:rsid w:val="00665B5E"/>
    <w:rsid w:val="006702E4"/>
    <w:rsid w:val="006718DD"/>
    <w:rsid w:val="006724BA"/>
    <w:rsid w:val="00672B58"/>
    <w:rsid w:val="00672B96"/>
    <w:rsid w:val="00672BB7"/>
    <w:rsid w:val="00673835"/>
    <w:rsid w:val="006744DE"/>
    <w:rsid w:val="00677213"/>
    <w:rsid w:val="006801BB"/>
    <w:rsid w:val="00682EB2"/>
    <w:rsid w:val="00684B67"/>
    <w:rsid w:val="006914DB"/>
    <w:rsid w:val="00693299"/>
    <w:rsid w:val="00693E78"/>
    <w:rsid w:val="006953F2"/>
    <w:rsid w:val="00696038"/>
    <w:rsid w:val="00696322"/>
    <w:rsid w:val="006971F2"/>
    <w:rsid w:val="00697385"/>
    <w:rsid w:val="006A13CF"/>
    <w:rsid w:val="006A231E"/>
    <w:rsid w:val="006A23EE"/>
    <w:rsid w:val="006A528C"/>
    <w:rsid w:val="006A5362"/>
    <w:rsid w:val="006A594B"/>
    <w:rsid w:val="006A6C4A"/>
    <w:rsid w:val="006B05FD"/>
    <w:rsid w:val="006B0B60"/>
    <w:rsid w:val="006B1D88"/>
    <w:rsid w:val="006B5BFA"/>
    <w:rsid w:val="006B6B49"/>
    <w:rsid w:val="006C536C"/>
    <w:rsid w:val="006C5597"/>
    <w:rsid w:val="006C735B"/>
    <w:rsid w:val="006C7464"/>
    <w:rsid w:val="006D0F1B"/>
    <w:rsid w:val="006D2CD0"/>
    <w:rsid w:val="006D528B"/>
    <w:rsid w:val="006D67A7"/>
    <w:rsid w:val="006E0DCA"/>
    <w:rsid w:val="006E20F2"/>
    <w:rsid w:val="006E42AD"/>
    <w:rsid w:val="006E4E8A"/>
    <w:rsid w:val="006E5521"/>
    <w:rsid w:val="006F0DA6"/>
    <w:rsid w:val="006F0F71"/>
    <w:rsid w:val="006F29EF"/>
    <w:rsid w:val="006F2C05"/>
    <w:rsid w:val="006F5538"/>
    <w:rsid w:val="00702F17"/>
    <w:rsid w:val="00703F7F"/>
    <w:rsid w:val="00706CF1"/>
    <w:rsid w:val="007076E0"/>
    <w:rsid w:val="00710EF9"/>
    <w:rsid w:val="007114F4"/>
    <w:rsid w:val="0071470C"/>
    <w:rsid w:val="007151ED"/>
    <w:rsid w:val="00716B52"/>
    <w:rsid w:val="00716F81"/>
    <w:rsid w:val="007178A3"/>
    <w:rsid w:val="00721DB4"/>
    <w:rsid w:val="00724EF7"/>
    <w:rsid w:val="0072505A"/>
    <w:rsid w:val="0072523F"/>
    <w:rsid w:val="00725A3E"/>
    <w:rsid w:val="00725AB9"/>
    <w:rsid w:val="007262F3"/>
    <w:rsid w:val="007265CC"/>
    <w:rsid w:val="00730372"/>
    <w:rsid w:val="00733E20"/>
    <w:rsid w:val="007347B2"/>
    <w:rsid w:val="00737158"/>
    <w:rsid w:val="00737E6F"/>
    <w:rsid w:val="00737FAE"/>
    <w:rsid w:val="0074021E"/>
    <w:rsid w:val="007408DB"/>
    <w:rsid w:val="00741C6E"/>
    <w:rsid w:val="0074201C"/>
    <w:rsid w:val="007430B7"/>
    <w:rsid w:val="00744A97"/>
    <w:rsid w:val="00744FDB"/>
    <w:rsid w:val="007477E0"/>
    <w:rsid w:val="00751610"/>
    <w:rsid w:val="00752F10"/>
    <w:rsid w:val="007547AB"/>
    <w:rsid w:val="00756A20"/>
    <w:rsid w:val="00757E18"/>
    <w:rsid w:val="007603AB"/>
    <w:rsid w:val="00760BCE"/>
    <w:rsid w:val="0076181F"/>
    <w:rsid w:val="00762ADF"/>
    <w:rsid w:val="00763269"/>
    <w:rsid w:val="0076376C"/>
    <w:rsid w:val="00764B0A"/>
    <w:rsid w:val="0076588A"/>
    <w:rsid w:val="00766B88"/>
    <w:rsid w:val="00767B87"/>
    <w:rsid w:val="00770276"/>
    <w:rsid w:val="00773BB8"/>
    <w:rsid w:val="00773F91"/>
    <w:rsid w:val="0077594B"/>
    <w:rsid w:val="0077612F"/>
    <w:rsid w:val="007765E8"/>
    <w:rsid w:val="00777A89"/>
    <w:rsid w:val="00781C7A"/>
    <w:rsid w:val="00782680"/>
    <w:rsid w:val="00783F7D"/>
    <w:rsid w:val="00785220"/>
    <w:rsid w:val="00785B22"/>
    <w:rsid w:val="007910F4"/>
    <w:rsid w:val="00797377"/>
    <w:rsid w:val="007977DF"/>
    <w:rsid w:val="007A4BC1"/>
    <w:rsid w:val="007A708E"/>
    <w:rsid w:val="007A717B"/>
    <w:rsid w:val="007A72C5"/>
    <w:rsid w:val="007A7DDD"/>
    <w:rsid w:val="007B2BC0"/>
    <w:rsid w:val="007B4F0F"/>
    <w:rsid w:val="007B67E8"/>
    <w:rsid w:val="007B767C"/>
    <w:rsid w:val="007C22B5"/>
    <w:rsid w:val="007C55A2"/>
    <w:rsid w:val="007C57A5"/>
    <w:rsid w:val="007C6D41"/>
    <w:rsid w:val="007C7D83"/>
    <w:rsid w:val="007D01D4"/>
    <w:rsid w:val="007D51D0"/>
    <w:rsid w:val="007D6E31"/>
    <w:rsid w:val="007D73AB"/>
    <w:rsid w:val="007E1CF7"/>
    <w:rsid w:val="007E21DE"/>
    <w:rsid w:val="007E2491"/>
    <w:rsid w:val="007E36F5"/>
    <w:rsid w:val="007E36FA"/>
    <w:rsid w:val="007E3F5D"/>
    <w:rsid w:val="007E5D4A"/>
    <w:rsid w:val="007E60FA"/>
    <w:rsid w:val="007F0ADF"/>
    <w:rsid w:val="007F4298"/>
    <w:rsid w:val="007F5413"/>
    <w:rsid w:val="007F7BD4"/>
    <w:rsid w:val="00801395"/>
    <w:rsid w:val="00803C16"/>
    <w:rsid w:val="008051CA"/>
    <w:rsid w:val="00806718"/>
    <w:rsid w:val="00812D97"/>
    <w:rsid w:val="00813FE3"/>
    <w:rsid w:val="0081666E"/>
    <w:rsid w:val="008217D1"/>
    <w:rsid w:val="008220B0"/>
    <w:rsid w:val="00824E3E"/>
    <w:rsid w:val="00825E03"/>
    <w:rsid w:val="00826BC9"/>
    <w:rsid w:val="00830DC4"/>
    <w:rsid w:val="00831A70"/>
    <w:rsid w:val="00832635"/>
    <w:rsid w:val="00834A8E"/>
    <w:rsid w:val="0084004E"/>
    <w:rsid w:val="00841EC8"/>
    <w:rsid w:val="00842445"/>
    <w:rsid w:val="008428C9"/>
    <w:rsid w:val="00850157"/>
    <w:rsid w:val="008531F1"/>
    <w:rsid w:val="00855382"/>
    <w:rsid w:val="00855D8B"/>
    <w:rsid w:val="0086225D"/>
    <w:rsid w:val="00862954"/>
    <w:rsid w:val="00865A71"/>
    <w:rsid w:val="00871E1E"/>
    <w:rsid w:val="0087210A"/>
    <w:rsid w:val="00872C5B"/>
    <w:rsid w:val="00873C3E"/>
    <w:rsid w:val="00875846"/>
    <w:rsid w:val="00875B48"/>
    <w:rsid w:val="0088009B"/>
    <w:rsid w:val="00881C63"/>
    <w:rsid w:val="00882A7C"/>
    <w:rsid w:val="00882E09"/>
    <w:rsid w:val="0088365C"/>
    <w:rsid w:val="008848C2"/>
    <w:rsid w:val="008878D0"/>
    <w:rsid w:val="00890743"/>
    <w:rsid w:val="00892496"/>
    <w:rsid w:val="00892803"/>
    <w:rsid w:val="00896CF7"/>
    <w:rsid w:val="008A1918"/>
    <w:rsid w:val="008A2D79"/>
    <w:rsid w:val="008A2FAF"/>
    <w:rsid w:val="008A2FB6"/>
    <w:rsid w:val="008A567B"/>
    <w:rsid w:val="008A6107"/>
    <w:rsid w:val="008B1388"/>
    <w:rsid w:val="008B2595"/>
    <w:rsid w:val="008B2FE8"/>
    <w:rsid w:val="008B3C86"/>
    <w:rsid w:val="008B43D8"/>
    <w:rsid w:val="008B50B9"/>
    <w:rsid w:val="008B7DCF"/>
    <w:rsid w:val="008C3279"/>
    <w:rsid w:val="008C50DE"/>
    <w:rsid w:val="008C68A1"/>
    <w:rsid w:val="008C716E"/>
    <w:rsid w:val="008C72A0"/>
    <w:rsid w:val="008C7830"/>
    <w:rsid w:val="008D414B"/>
    <w:rsid w:val="008D42C2"/>
    <w:rsid w:val="008E17C3"/>
    <w:rsid w:val="008E1F3C"/>
    <w:rsid w:val="008E2106"/>
    <w:rsid w:val="008E3247"/>
    <w:rsid w:val="008E3D58"/>
    <w:rsid w:val="008E4090"/>
    <w:rsid w:val="008E51E4"/>
    <w:rsid w:val="008E70F3"/>
    <w:rsid w:val="008E790D"/>
    <w:rsid w:val="008F20D4"/>
    <w:rsid w:val="008F20F7"/>
    <w:rsid w:val="008F22CC"/>
    <w:rsid w:val="008F3AEB"/>
    <w:rsid w:val="008F4D01"/>
    <w:rsid w:val="009022B6"/>
    <w:rsid w:val="0090242E"/>
    <w:rsid w:val="00902A00"/>
    <w:rsid w:val="00903BAA"/>
    <w:rsid w:val="009048B5"/>
    <w:rsid w:val="00906B01"/>
    <w:rsid w:val="009074A2"/>
    <w:rsid w:val="00910AD9"/>
    <w:rsid w:val="00914FF6"/>
    <w:rsid w:val="00916FD0"/>
    <w:rsid w:val="00917465"/>
    <w:rsid w:val="0092049F"/>
    <w:rsid w:val="00922AEB"/>
    <w:rsid w:val="00922B89"/>
    <w:rsid w:val="00927E6C"/>
    <w:rsid w:val="00930100"/>
    <w:rsid w:val="00930BEC"/>
    <w:rsid w:val="00930CA6"/>
    <w:rsid w:val="00931D64"/>
    <w:rsid w:val="00931E7E"/>
    <w:rsid w:val="009322BC"/>
    <w:rsid w:val="00932481"/>
    <w:rsid w:val="009329E4"/>
    <w:rsid w:val="00933337"/>
    <w:rsid w:val="009356AB"/>
    <w:rsid w:val="00935BE4"/>
    <w:rsid w:val="00937100"/>
    <w:rsid w:val="00940D4B"/>
    <w:rsid w:val="00941616"/>
    <w:rsid w:val="00941B64"/>
    <w:rsid w:val="00942613"/>
    <w:rsid w:val="00942706"/>
    <w:rsid w:val="009443F0"/>
    <w:rsid w:val="009452AD"/>
    <w:rsid w:val="00946433"/>
    <w:rsid w:val="0095004C"/>
    <w:rsid w:val="00951160"/>
    <w:rsid w:val="009522FC"/>
    <w:rsid w:val="00954499"/>
    <w:rsid w:val="00954830"/>
    <w:rsid w:val="00955701"/>
    <w:rsid w:val="009564A3"/>
    <w:rsid w:val="00957D0D"/>
    <w:rsid w:val="00962CD2"/>
    <w:rsid w:val="00965531"/>
    <w:rsid w:val="00966031"/>
    <w:rsid w:val="00971DEE"/>
    <w:rsid w:val="00971EE1"/>
    <w:rsid w:val="0097615D"/>
    <w:rsid w:val="00976DBB"/>
    <w:rsid w:val="00977419"/>
    <w:rsid w:val="009818B0"/>
    <w:rsid w:val="00981E90"/>
    <w:rsid w:val="009831C3"/>
    <w:rsid w:val="00984818"/>
    <w:rsid w:val="00984994"/>
    <w:rsid w:val="00985694"/>
    <w:rsid w:val="00985F9A"/>
    <w:rsid w:val="00987D32"/>
    <w:rsid w:val="00990B27"/>
    <w:rsid w:val="009917AF"/>
    <w:rsid w:val="00992BC3"/>
    <w:rsid w:val="009A1D73"/>
    <w:rsid w:val="009A2231"/>
    <w:rsid w:val="009A38B8"/>
    <w:rsid w:val="009A3C0D"/>
    <w:rsid w:val="009A4C67"/>
    <w:rsid w:val="009A58B4"/>
    <w:rsid w:val="009A6632"/>
    <w:rsid w:val="009B0A00"/>
    <w:rsid w:val="009B2A3E"/>
    <w:rsid w:val="009B37FD"/>
    <w:rsid w:val="009B3A7C"/>
    <w:rsid w:val="009B41D2"/>
    <w:rsid w:val="009B642D"/>
    <w:rsid w:val="009C099A"/>
    <w:rsid w:val="009C23AC"/>
    <w:rsid w:val="009C246B"/>
    <w:rsid w:val="009C265B"/>
    <w:rsid w:val="009C4871"/>
    <w:rsid w:val="009C4E9B"/>
    <w:rsid w:val="009C5868"/>
    <w:rsid w:val="009C590D"/>
    <w:rsid w:val="009C6A48"/>
    <w:rsid w:val="009C7C7E"/>
    <w:rsid w:val="009D01E8"/>
    <w:rsid w:val="009D117F"/>
    <w:rsid w:val="009D125D"/>
    <w:rsid w:val="009E0C2B"/>
    <w:rsid w:val="009E166B"/>
    <w:rsid w:val="009E295C"/>
    <w:rsid w:val="009E38E2"/>
    <w:rsid w:val="009E4135"/>
    <w:rsid w:val="009E635F"/>
    <w:rsid w:val="009E663B"/>
    <w:rsid w:val="009E679D"/>
    <w:rsid w:val="009E6FA2"/>
    <w:rsid w:val="009E72B1"/>
    <w:rsid w:val="009F07BC"/>
    <w:rsid w:val="009F1B43"/>
    <w:rsid w:val="009F242C"/>
    <w:rsid w:val="009F318A"/>
    <w:rsid w:val="009F44FD"/>
    <w:rsid w:val="009F5081"/>
    <w:rsid w:val="009F7004"/>
    <w:rsid w:val="00A001E9"/>
    <w:rsid w:val="00A02D78"/>
    <w:rsid w:val="00A04A9D"/>
    <w:rsid w:val="00A057BE"/>
    <w:rsid w:val="00A05FF5"/>
    <w:rsid w:val="00A10099"/>
    <w:rsid w:val="00A12BF5"/>
    <w:rsid w:val="00A13A16"/>
    <w:rsid w:val="00A13B5D"/>
    <w:rsid w:val="00A13BD2"/>
    <w:rsid w:val="00A1773E"/>
    <w:rsid w:val="00A23DFE"/>
    <w:rsid w:val="00A26852"/>
    <w:rsid w:val="00A26A00"/>
    <w:rsid w:val="00A274A7"/>
    <w:rsid w:val="00A300A2"/>
    <w:rsid w:val="00A32EEE"/>
    <w:rsid w:val="00A3482C"/>
    <w:rsid w:val="00A45442"/>
    <w:rsid w:val="00A50C46"/>
    <w:rsid w:val="00A5345D"/>
    <w:rsid w:val="00A541D4"/>
    <w:rsid w:val="00A5433D"/>
    <w:rsid w:val="00A5482F"/>
    <w:rsid w:val="00A601AE"/>
    <w:rsid w:val="00A60D42"/>
    <w:rsid w:val="00A60F4C"/>
    <w:rsid w:val="00A63FAA"/>
    <w:rsid w:val="00A6782D"/>
    <w:rsid w:val="00A728A3"/>
    <w:rsid w:val="00A7323A"/>
    <w:rsid w:val="00A745C1"/>
    <w:rsid w:val="00A763B6"/>
    <w:rsid w:val="00A76799"/>
    <w:rsid w:val="00A76E50"/>
    <w:rsid w:val="00A83933"/>
    <w:rsid w:val="00A84CE9"/>
    <w:rsid w:val="00A87DB5"/>
    <w:rsid w:val="00A906AF"/>
    <w:rsid w:val="00A906B5"/>
    <w:rsid w:val="00A926D4"/>
    <w:rsid w:val="00A92CBB"/>
    <w:rsid w:val="00A92E9C"/>
    <w:rsid w:val="00A944A3"/>
    <w:rsid w:val="00A94542"/>
    <w:rsid w:val="00AA1387"/>
    <w:rsid w:val="00AA4BF5"/>
    <w:rsid w:val="00AA5AD2"/>
    <w:rsid w:val="00AA5E74"/>
    <w:rsid w:val="00AB2DE8"/>
    <w:rsid w:val="00AB3A5B"/>
    <w:rsid w:val="00AB4B89"/>
    <w:rsid w:val="00AB55BE"/>
    <w:rsid w:val="00AC0303"/>
    <w:rsid w:val="00AC22A3"/>
    <w:rsid w:val="00AC2395"/>
    <w:rsid w:val="00AC2D6D"/>
    <w:rsid w:val="00AC339F"/>
    <w:rsid w:val="00AC3D5D"/>
    <w:rsid w:val="00AC5F68"/>
    <w:rsid w:val="00AC6AD5"/>
    <w:rsid w:val="00AC77CF"/>
    <w:rsid w:val="00AD0157"/>
    <w:rsid w:val="00AD247B"/>
    <w:rsid w:val="00AD4919"/>
    <w:rsid w:val="00AD49A6"/>
    <w:rsid w:val="00AD4B43"/>
    <w:rsid w:val="00AE0527"/>
    <w:rsid w:val="00AE1035"/>
    <w:rsid w:val="00AE16A4"/>
    <w:rsid w:val="00AE4B5A"/>
    <w:rsid w:val="00AE4D60"/>
    <w:rsid w:val="00AE5670"/>
    <w:rsid w:val="00AE6024"/>
    <w:rsid w:val="00AE64C2"/>
    <w:rsid w:val="00AE6AF6"/>
    <w:rsid w:val="00AE6E1B"/>
    <w:rsid w:val="00AE6E31"/>
    <w:rsid w:val="00AE72E1"/>
    <w:rsid w:val="00AE76A8"/>
    <w:rsid w:val="00AF186C"/>
    <w:rsid w:val="00AF2A07"/>
    <w:rsid w:val="00AF4BFC"/>
    <w:rsid w:val="00AF73EB"/>
    <w:rsid w:val="00B04CD0"/>
    <w:rsid w:val="00B05FEC"/>
    <w:rsid w:val="00B12D93"/>
    <w:rsid w:val="00B12E8C"/>
    <w:rsid w:val="00B150A6"/>
    <w:rsid w:val="00B172EC"/>
    <w:rsid w:val="00B219DE"/>
    <w:rsid w:val="00B265DF"/>
    <w:rsid w:val="00B273A5"/>
    <w:rsid w:val="00B30D0D"/>
    <w:rsid w:val="00B313C0"/>
    <w:rsid w:val="00B319B5"/>
    <w:rsid w:val="00B31C13"/>
    <w:rsid w:val="00B33367"/>
    <w:rsid w:val="00B37D9F"/>
    <w:rsid w:val="00B4059A"/>
    <w:rsid w:val="00B41CB4"/>
    <w:rsid w:val="00B42338"/>
    <w:rsid w:val="00B42D41"/>
    <w:rsid w:val="00B42E63"/>
    <w:rsid w:val="00B46243"/>
    <w:rsid w:val="00B46BC5"/>
    <w:rsid w:val="00B47BF2"/>
    <w:rsid w:val="00B51BAF"/>
    <w:rsid w:val="00B544E3"/>
    <w:rsid w:val="00B602E2"/>
    <w:rsid w:val="00B63AC6"/>
    <w:rsid w:val="00B64398"/>
    <w:rsid w:val="00B64AEB"/>
    <w:rsid w:val="00B652F6"/>
    <w:rsid w:val="00B660F0"/>
    <w:rsid w:val="00B676BD"/>
    <w:rsid w:val="00B67707"/>
    <w:rsid w:val="00B7063C"/>
    <w:rsid w:val="00B70D8E"/>
    <w:rsid w:val="00B718C2"/>
    <w:rsid w:val="00B8560E"/>
    <w:rsid w:val="00B87C83"/>
    <w:rsid w:val="00B87D38"/>
    <w:rsid w:val="00B93544"/>
    <w:rsid w:val="00B978D3"/>
    <w:rsid w:val="00BA0468"/>
    <w:rsid w:val="00BA097C"/>
    <w:rsid w:val="00BA1D36"/>
    <w:rsid w:val="00BA3682"/>
    <w:rsid w:val="00BA5729"/>
    <w:rsid w:val="00BA7A40"/>
    <w:rsid w:val="00BB153C"/>
    <w:rsid w:val="00BB1A72"/>
    <w:rsid w:val="00BB29BA"/>
    <w:rsid w:val="00BB3010"/>
    <w:rsid w:val="00BB34CC"/>
    <w:rsid w:val="00BB66C7"/>
    <w:rsid w:val="00BB6FA6"/>
    <w:rsid w:val="00BB7537"/>
    <w:rsid w:val="00BB7792"/>
    <w:rsid w:val="00BB7924"/>
    <w:rsid w:val="00BC1CE2"/>
    <w:rsid w:val="00BC358E"/>
    <w:rsid w:val="00BC3888"/>
    <w:rsid w:val="00BC7F46"/>
    <w:rsid w:val="00BD029A"/>
    <w:rsid w:val="00BD05CF"/>
    <w:rsid w:val="00BD0BFB"/>
    <w:rsid w:val="00BD23F4"/>
    <w:rsid w:val="00BD3F96"/>
    <w:rsid w:val="00BD4EA2"/>
    <w:rsid w:val="00BD4FC3"/>
    <w:rsid w:val="00BD5B82"/>
    <w:rsid w:val="00BD65DC"/>
    <w:rsid w:val="00BD6790"/>
    <w:rsid w:val="00BD7803"/>
    <w:rsid w:val="00BE0FB2"/>
    <w:rsid w:val="00BE1FCB"/>
    <w:rsid w:val="00BE37CF"/>
    <w:rsid w:val="00BE4C84"/>
    <w:rsid w:val="00BE4C87"/>
    <w:rsid w:val="00BE50C4"/>
    <w:rsid w:val="00BE62AC"/>
    <w:rsid w:val="00BF0311"/>
    <w:rsid w:val="00BF14DC"/>
    <w:rsid w:val="00BF1E3B"/>
    <w:rsid w:val="00C0020B"/>
    <w:rsid w:val="00C0021E"/>
    <w:rsid w:val="00C00B6D"/>
    <w:rsid w:val="00C01ADB"/>
    <w:rsid w:val="00C04049"/>
    <w:rsid w:val="00C07B25"/>
    <w:rsid w:val="00C07F0C"/>
    <w:rsid w:val="00C10580"/>
    <w:rsid w:val="00C1456C"/>
    <w:rsid w:val="00C16CC9"/>
    <w:rsid w:val="00C17127"/>
    <w:rsid w:val="00C17493"/>
    <w:rsid w:val="00C231A7"/>
    <w:rsid w:val="00C231F2"/>
    <w:rsid w:val="00C31C5B"/>
    <w:rsid w:val="00C32127"/>
    <w:rsid w:val="00C33A96"/>
    <w:rsid w:val="00C3682A"/>
    <w:rsid w:val="00C4019C"/>
    <w:rsid w:val="00C45298"/>
    <w:rsid w:val="00C456A8"/>
    <w:rsid w:val="00C52010"/>
    <w:rsid w:val="00C57142"/>
    <w:rsid w:val="00C606AD"/>
    <w:rsid w:val="00C61698"/>
    <w:rsid w:val="00C63502"/>
    <w:rsid w:val="00C65B35"/>
    <w:rsid w:val="00C66B21"/>
    <w:rsid w:val="00C71D8B"/>
    <w:rsid w:val="00C7390E"/>
    <w:rsid w:val="00C75FBF"/>
    <w:rsid w:val="00C76EFB"/>
    <w:rsid w:val="00C82922"/>
    <w:rsid w:val="00C8317E"/>
    <w:rsid w:val="00C91307"/>
    <w:rsid w:val="00C9176D"/>
    <w:rsid w:val="00C93D89"/>
    <w:rsid w:val="00C93F8A"/>
    <w:rsid w:val="00C94082"/>
    <w:rsid w:val="00C945F2"/>
    <w:rsid w:val="00C95A8C"/>
    <w:rsid w:val="00C968F2"/>
    <w:rsid w:val="00C96933"/>
    <w:rsid w:val="00CA03A3"/>
    <w:rsid w:val="00CA2472"/>
    <w:rsid w:val="00CA3F6B"/>
    <w:rsid w:val="00CB0D45"/>
    <w:rsid w:val="00CB134A"/>
    <w:rsid w:val="00CB19AF"/>
    <w:rsid w:val="00CB2C3F"/>
    <w:rsid w:val="00CB3E4B"/>
    <w:rsid w:val="00CB46BD"/>
    <w:rsid w:val="00CB5E6C"/>
    <w:rsid w:val="00CB6DBA"/>
    <w:rsid w:val="00CC15D8"/>
    <w:rsid w:val="00CC1A54"/>
    <w:rsid w:val="00CC3C58"/>
    <w:rsid w:val="00CC7F02"/>
    <w:rsid w:val="00CD001D"/>
    <w:rsid w:val="00CD2EFD"/>
    <w:rsid w:val="00CD6919"/>
    <w:rsid w:val="00CD6E22"/>
    <w:rsid w:val="00CE177F"/>
    <w:rsid w:val="00CE6E9C"/>
    <w:rsid w:val="00CE7ABD"/>
    <w:rsid w:val="00CF08E7"/>
    <w:rsid w:val="00CF2F03"/>
    <w:rsid w:val="00CF3228"/>
    <w:rsid w:val="00CF6C0F"/>
    <w:rsid w:val="00D016CD"/>
    <w:rsid w:val="00D01988"/>
    <w:rsid w:val="00D03860"/>
    <w:rsid w:val="00D07AA6"/>
    <w:rsid w:val="00D1081C"/>
    <w:rsid w:val="00D1155A"/>
    <w:rsid w:val="00D115CB"/>
    <w:rsid w:val="00D11AFC"/>
    <w:rsid w:val="00D11C20"/>
    <w:rsid w:val="00D14998"/>
    <w:rsid w:val="00D14C0C"/>
    <w:rsid w:val="00D16BDE"/>
    <w:rsid w:val="00D16C44"/>
    <w:rsid w:val="00D17B2A"/>
    <w:rsid w:val="00D17F2B"/>
    <w:rsid w:val="00D21B76"/>
    <w:rsid w:val="00D22C83"/>
    <w:rsid w:val="00D23085"/>
    <w:rsid w:val="00D262A9"/>
    <w:rsid w:val="00D27A45"/>
    <w:rsid w:val="00D30502"/>
    <w:rsid w:val="00D308FE"/>
    <w:rsid w:val="00D3106C"/>
    <w:rsid w:val="00D31B32"/>
    <w:rsid w:val="00D335C7"/>
    <w:rsid w:val="00D33D19"/>
    <w:rsid w:val="00D376F8"/>
    <w:rsid w:val="00D46F1D"/>
    <w:rsid w:val="00D50A6E"/>
    <w:rsid w:val="00D52AE5"/>
    <w:rsid w:val="00D601E1"/>
    <w:rsid w:val="00D609D4"/>
    <w:rsid w:val="00D611DB"/>
    <w:rsid w:val="00D61585"/>
    <w:rsid w:val="00D6271D"/>
    <w:rsid w:val="00D64833"/>
    <w:rsid w:val="00D6525A"/>
    <w:rsid w:val="00D6587A"/>
    <w:rsid w:val="00D66843"/>
    <w:rsid w:val="00D66F82"/>
    <w:rsid w:val="00D670A2"/>
    <w:rsid w:val="00D74B72"/>
    <w:rsid w:val="00D76E92"/>
    <w:rsid w:val="00D81054"/>
    <w:rsid w:val="00D82AEE"/>
    <w:rsid w:val="00D82EFF"/>
    <w:rsid w:val="00D8719A"/>
    <w:rsid w:val="00D87C81"/>
    <w:rsid w:val="00D91433"/>
    <w:rsid w:val="00D948F5"/>
    <w:rsid w:val="00D96CA4"/>
    <w:rsid w:val="00D97EBB"/>
    <w:rsid w:val="00DA1CE5"/>
    <w:rsid w:val="00DA1EAC"/>
    <w:rsid w:val="00DB07A6"/>
    <w:rsid w:val="00DB1EAA"/>
    <w:rsid w:val="00DB21E5"/>
    <w:rsid w:val="00DB34B3"/>
    <w:rsid w:val="00DB522F"/>
    <w:rsid w:val="00DB5326"/>
    <w:rsid w:val="00DC4B47"/>
    <w:rsid w:val="00DC6643"/>
    <w:rsid w:val="00DD367E"/>
    <w:rsid w:val="00DD3A11"/>
    <w:rsid w:val="00DE2083"/>
    <w:rsid w:val="00DE5DFF"/>
    <w:rsid w:val="00DE6045"/>
    <w:rsid w:val="00DE6B4C"/>
    <w:rsid w:val="00DF10AB"/>
    <w:rsid w:val="00DF6635"/>
    <w:rsid w:val="00DF6B94"/>
    <w:rsid w:val="00DF7693"/>
    <w:rsid w:val="00E007E5"/>
    <w:rsid w:val="00E00F9B"/>
    <w:rsid w:val="00E018DE"/>
    <w:rsid w:val="00E022AB"/>
    <w:rsid w:val="00E03916"/>
    <w:rsid w:val="00E10585"/>
    <w:rsid w:val="00E12712"/>
    <w:rsid w:val="00E128C6"/>
    <w:rsid w:val="00E141BC"/>
    <w:rsid w:val="00E15271"/>
    <w:rsid w:val="00E1528D"/>
    <w:rsid w:val="00E15E35"/>
    <w:rsid w:val="00E17213"/>
    <w:rsid w:val="00E17F40"/>
    <w:rsid w:val="00E210ED"/>
    <w:rsid w:val="00E2169B"/>
    <w:rsid w:val="00E22420"/>
    <w:rsid w:val="00E22B32"/>
    <w:rsid w:val="00E250FF"/>
    <w:rsid w:val="00E25CA4"/>
    <w:rsid w:val="00E276CE"/>
    <w:rsid w:val="00E27F64"/>
    <w:rsid w:val="00E308B5"/>
    <w:rsid w:val="00E32B62"/>
    <w:rsid w:val="00E349E5"/>
    <w:rsid w:val="00E35919"/>
    <w:rsid w:val="00E367CE"/>
    <w:rsid w:val="00E43A88"/>
    <w:rsid w:val="00E44783"/>
    <w:rsid w:val="00E44D0A"/>
    <w:rsid w:val="00E45B85"/>
    <w:rsid w:val="00E46B3F"/>
    <w:rsid w:val="00E474E1"/>
    <w:rsid w:val="00E4754E"/>
    <w:rsid w:val="00E47B77"/>
    <w:rsid w:val="00E5001F"/>
    <w:rsid w:val="00E50308"/>
    <w:rsid w:val="00E508E4"/>
    <w:rsid w:val="00E50CC2"/>
    <w:rsid w:val="00E5289D"/>
    <w:rsid w:val="00E529A9"/>
    <w:rsid w:val="00E56EA4"/>
    <w:rsid w:val="00E6105C"/>
    <w:rsid w:val="00E64CE1"/>
    <w:rsid w:val="00E64F14"/>
    <w:rsid w:val="00E65EA3"/>
    <w:rsid w:val="00E6747F"/>
    <w:rsid w:val="00E67968"/>
    <w:rsid w:val="00E70784"/>
    <w:rsid w:val="00E758AE"/>
    <w:rsid w:val="00E763DF"/>
    <w:rsid w:val="00E764AA"/>
    <w:rsid w:val="00E80E1B"/>
    <w:rsid w:val="00E82B1B"/>
    <w:rsid w:val="00E907AC"/>
    <w:rsid w:val="00E9100F"/>
    <w:rsid w:val="00E92382"/>
    <w:rsid w:val="00E92C0C"/>
    <w:rsid w:val="00E9337A"/>
    <w:rsid w:val="00E95B38"/>
    <w:rsid w:val="00E96228"/>
    <w:rsid w:val="00EA19EF"/>
    <w:rsid w:val="00EA3622"/>
    <w:rsid w:val="00EA3F2E"/>
    <w:rsid w:val="00EA4F78"/>
    <w:rsid w:val="00EB318C"/>
    <w:rsid w:val="00EB37E6"/>
    <w:rsid w:val="00EB3930"/>
    <w:rsid w:val="00EB6829"/>
    <w:rsid w:val="00EB6ACF"/>
    <w:rsid w:val="00EC008B"/>
    <w:rsid w:val="00EC17F7"/>
    <w:rsid w:val="00EC3B66"/>
    <w:rsid w:val="00EC548D"/>
    <w:rsid w:val="00EC5FD4"/>
    <w:rsid w:val="00EC5FE5"/>
    <w:rsid w:val="00EC6620"/>
    <w:rsid w:val="00EC7099"/>
    <w:rsid w:val="00EC72CC"/>
    <w:rsid w:val="00ED749E"/>
    <w:rsid w:val="00ED76BA"/>
    <w:rsid w:val="00ED7A9C"/>
    <w:rsid w:val="00EE0D98"/>
    <w:rsid w:val="00EE0F00"/>
    <w:rsid w:val="00EE4A95"/>
    <w:rsid w:val="00EE599B"/>
    <w:rsid w:val="00EE6FBD"/>
    <w:rsid w:val="00EF0B88"/>
    <w:rsid w:val="00EF25C5"/>
    <w:rsid w:val="00EF295A"/>
    <w:rsid w:val="00EF37DB"/>
    <w:rsid w:val="00EF68E8"/>
    <w:rsid w:val="00EF6BE0"/>
    <w:rsid w:val="00EF7BB3"/>
    <w:rsid w:val="00F01CB3"/>
    <w:rsid w:val="00F023F0"/>
    <w:rsid w:val="00F15EB5"/>
    <w:rsid w:val="00F17FD0"/>
    <w:rsid w:val="00F17FD2"/>
    <w:rsid w:val="00F20826"/>
    <w:rsid w:val="00F20E32"/>
    <w:rsid w:val="00F21CD3"/>
    <w:rsid w:val="00F21FD4"/>
    <w:rsid w:val="00F24528"/>
    <w:rsid w:val="00F301FC"/>
    <w:rsid w:val="00F3132D"/>
    <w:rsid w:val="00F313A6"/>
    <w:rsid w:val="00F32B4F"/>
    <w:rsid w:val="00F34A68"/>
    <w:rsid w:val="00F35DE4"/>
    <w:rsid w:val="00F36129"/>
    <w:rsid w:val="00F368B1"/>
    <w:rsid w:val="00F407AA"/>
    <w:rsid w:val="00F43E5C"/>
    <w:rsid w:val="00F442EB"/>
    <w:rsid w:val="00F4544E"/>
    <w:rsid w:val="00F45673"/>
    <w:rsid w:val="00F45D66"/>
    <w:rsid w:val="00F5151A"/>
    <w:rsid w:val="00F5346D"/>
    <w:rsid w:val="00F546D9"/>
    <w:rsid w:val="00F562F8"/>
    <w:rsid w:val="00F60B17"/>
    <w:rsid w:val="00F615CB"/>
    <w:rsid w:val="00F619DD"/>
    <w:rsid w:val="00F6447D"/>
    <w:rsid w:val="00F65B93"/>
    <w:rsid w:val="00F6617A"/>
    <w:rsid w:val="00F72E94"/>
    <w:rsid w:val="00F740B9"/>
    <w:rsid w:val="00F810DD"/>
    <w:rsid w:val="00F90113"/>
    <w:rsid w:val="00F915C5"/>
    <w:rsid w:val="00F91934"/>
    <w:rsid w:val="00F922F7"/>
    <w:rsid w:val="00F94DB2"/>
    <w:rsid w:val="00F976FB"/>
    <w:rsid w:val="00FA048C"/>
    <w:rsid w:val="00FA3564"/>
    <w:rsid w:val="00FA52CC"/>
    <w:rsid w:val="00FA7065"/>
    <w:rsid w:val="00FA7766"/>
    <w:rsid w:val="00FB282F"/>
    <w:rsid w:val="00FB5454"/>
    <w:rsid w:val="00FB55E5"/>
    <w:rsid w:val="00FC25F3"/>
    <w:rsid w:val="00FC2A47"/>
    <w:rsid w:val="00FD0C4C"/>
    <w:rsid w:val="00FD1948"/>
    <w:rsid w:val="00FD1AF5"/>
    <w:rsid w:val="00FD2CA5"/>
    <w:rsid w:val="00FD3622"/>
    <w:rsid w:val="00FD4B1E"/>
    <w:rsid w:val="00FD512F"/>
    <w:rsid w:val="00FD5FF9"/>
    <w:rsid w:val="00FD630A"/>
    <w:rsid w:val="00FE1F07"/>
    <w:rsid w:val="00FE32AE"/>
    <w:rsid w:val="00FE4D4F"/>
    <w:rsid w:val="00FE6CF4"/>
    <w:rsid w:val="00FF07BB"/>
    <w:rsid w:val="00FF1841"/>
    <w:rsid w:val="00FF1E26"/>
    <w:rsid w:val="00FF2371"/>
    <w:rsid w:val="00FF4528"/>
    <w:rsid w:val="00FF4683"/>
    <w:rsid w:val="00FF46BC"/>
    <w:rsid w:val="00FF52C6"/>
    <w:rsid w:val="00FF5FD4"/>
    <w:rsid w:val="00FF68D6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401E6"/>
  <w15:docId w15:val="{25A90BF9-CC38-4284-AC50-46AD4C18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68F2"/>
    <w:rPr>
      <w:color w:val="0000FF"/>
      <w:u w:val="single"/>
    </w:rPr>
  </w:style>
  <w:style w:type="character" w:customStyle="1" w:styleId="hps">
    <w:name w:val="hps"/>
    <w:basedOn w:val="Standardnpsmoodstavce"/>
    <w:rsid w:val="00C968F2"/>
  </w:style>
  <w:style w:type="paragraph" w:styleId="Zhlav">
    <w:name w:val="header"/>
    <w:basedOn w:val="Normln"/>
    <w:link w:val="Zhlav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E50"/>
  </w:style>
  <w:style w:type="paragraph" w:styleId="Zpat">
    <w:name w:val="footer"/>
    <w:basedOn w:val="Normln"/>
    <w:link w:val="Zpat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E50"/>
  </w:style>
  <w:style w:type="paragraph" w:styleId="Textbubliny">
    <w:name w:val="Balloon Text"/>
    <w:basedOn w:val="Normln"/>
    <w:link w:val="TextbublinyChar"/>
    <w:uiPriority w:val="99"/>
    <w:semiHidden/>
    <w:unhideWhenUsed/>
    <w:rsid w:val="00FF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7B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9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D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D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DB2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4CE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4CE9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5171E3"/>
    <w:pPr>
      <w:ind w:left="720"/>
      <w:contextualSpacing/>
    </w:pPr>
  </w:style>
  <w:style w:type="paragraph" w:styleId="Revize">
    <w:name w:val="Revision"/>
    <w:hidden/>
    <w:uiPriority w:val="99"/>
    <w:semiHidden/>
    <w:rsid w:val="004B0D3D"/>
    <w:pPr>
      <w:spacing w:after="0" w:line="240" w:lineRule="auto"/>
    </w:pPr>
  </w:style>
  <w:style w:type="table" w:styleId="Mkatabulky">
    <w:name w:val="Table Grid"/>
    <w:basedOn w:val="Normlntabulka"/>
    <w:uiPriority w:val="59"/>
    <w:rsid w:val="00E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ec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253CF-1C3C-4FA5-A10E-A61D4152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1177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CEEC</dc:creator>
  <cp:lastModifiedBy>Jiří Vacek</cp:lastModifiedBy>
  <cp:revision>3</cp:revision>
  <dcterms:created xsi:type="dcterms:W3CDTF">2017-09-07T05:16:00Z</dcterms:created>
  <dcterms:modified xsi:type="dcterms:W3CDTF">2017-09-07T05:38:00Z</dcterms:modified>
</cp:coreProperties>
</file>