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CC" w:rsidRPr="007265CC" w:rsidRDefault="00324863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O</w:t>
      </w:r>
      <w:r w:rsidR="00155AB4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bjem vypsaných zakázek byl v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 roce 2015 nejnižší za posledních pět let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B64398" w:rsidRPr="007265CC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7265CC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7265CC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384E4A">
        <w:rPr>
          <w:rFonts w:ascii="Arial" w:eastAsia="SimSun" w:hAnsi="Arial" w:cs="Arial"/>
          <w:b/>
          <w:color w:val="000000" w:themeColor="text1"/>
          <w:kern w:val="1"/>
        </w:rPr>
        <w:t>8</w:t>
      </w:r>
      <w:r w:rsidR="00122E6D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384E4A">
        <w:rPr>
          <w:rFonts w:ascii="Arial" w:eastAsia="SimSun" w:hAnsi="Arial" w:cs="Arial"/>
          <w:b/>
          <w:color w:val="000000" w:themeColor="text1"/>
          <w:kern w:val="1"/>
        </w:rPr>
        <w:t>února</w:t>
      </w:r>
      <w:r w:rsidR="001D7988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7265CC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ED1DF8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165D79">
        <w:rPr>
          <w:rFonts w:ascii="Arial" w:eastAsia="SimSun" w:hAnsi="Arial" w:cs="Arial"/>
          <w:b/>
          <w:color w:val="000000" w:themeColor="text1"/>
          <w:kern w:val="1"/>
        </w:rPr>
        <w:t>Za dvanáct měsíců uplynulého roku vypsali veřejní investoři 7471 výběrových řízení v celkové hodnotě 262 miliard korun. To představuje</w:t>
      </w:r>
      <w:r w:rsidR="00165D79" w:rsidRPr="00165D79">
        <w:rPr>
          <w:rFonts w:ascii="Arial" w:eastAsia="SimSun" w:hAnsi="Arial" w:cs="Arial"/>
          <w:b/>
          <w:color w:val="000000" w:themeColor="text1"/>
          <w:kern w:val="1"/>
        </w:rPr>
        <w:t xml:space="preserve"> za poslední tři roky</w:t>
      </w:r>
      <w:r w:rsidR="00155AB4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165D79" w:rsidRPr="00165D79">
        <w:rPr>
          <w:rFonts w:ascii="Arial" w:eastAsia="SimSun" w:hAnsi="Arial" w:cs="Arial"/>
          <w:b/>
          <w:color w:val="000000" w:themeColor="text1"/>
          <w:kern w:val="1"/>
        </w:rPr>
        <w:t xml:space="preserve">vůbec nejnižší </w:t>
      </w:r>
      <w:r w:rsidR="00155AB4">
        <w:rPr>
          <w:rFonts w:ascii="Arial" w:eastAsia="SimSun" w:hAnsi="Arial" w:cs="Arial"/>
          <w:b/>
          <w:color w:val="000000" w:themeColor="text1"/>
          <w:kern w:val="1"/>
        </w:rPr>
        <w:t>souhrnný</w:t>
      </w:r>
      <w:r w:rsidR="00165D79" w:rsidRPr="00165D79">
        <w:rPr>
          <w:rFonts w:ascii="Arial" w:eastAsia="SimSun" w:hAnsi="Arial" w:cs="Arial"/>
          <w:b/>
          <w:color w:val="000000" w:themeColor="text1"/>
          <w:kern w:val="1"/>
        </w:rPr>
        <w:t xml:space="preserve"> počet (7812 v roce 2013, 8762 v roce 2014)</w:t>
      </w:r>
      <w:r w:rsidR="003E2337">
        <w:rPr>
          <w:rFonts w:ascii="Arial" w:eastAsia="SimSun" w:hAnsi="Arial" w:cs="Arial"/>
          <w:b/>
          <w:color w:val="000000" w:themeColor="text1"/>
          <w:kern w:val="1"/>
        </w:rPr>
        <w:t>. O</w:t>
      </w:r>
      <w:r w:rsidR="00165D79" w:rsidRPr="00165D79">
        <w:rPr>
          <w:rFonts w:ascii="Arial" w:eastAsia="SimSun" w:hAnsi="Arial" w:cs="Arial"/>
          <w:b/>
          <w:color w:val="000000" w:themeColor="text1"/>
          <w:kern w:val="1"/>
        </w:rPr>
        <w:t>bjem zakázek</w:t>
      </w:r>
      <w:r w:rsidR="003E2337">
        <w:rPr>
          <w:rFonts w:ascii="Arial" w:eastAsia="SimSun" w:hAnsi="Arial" w:cs="Arial"/>
          <w:b/>
          <w:color w:val="000000" w:themeColor="text1"/>
          <w:kern w:val="1"/>
        </w:rPr>
        <w:t xml:space="preserve"> je dokonce nejnižší za posledních pět let, tedy za dobu sledování</w:t>
      </w:r>
      <w:r w:rsidR="00165D79" w:rsidRPr="00165D79">
        <w:rPr>
          <w:rFonts w:ascii="Arial" w:eastAsia="SimSun" w:hAnsi="Arial" w:cs="Arial"/>
          <w:b/>
          <w:color w:val="000000" w:themeColor="text1"/>
          <w:kern w:val="1"/>
        </w:rPr>
        <w:t xml:space="preserve"> (</w:t>
      </w:r>
      <w:r w:rsidR="003E2337">
        <w:rPr>
          <w:rFonts w:ascii="Arial" w:eastAsia="SimSun" w:hAnsi="Arial" w:cs="Arial"/>
          <w:b/>
          <w:color w:val="000000" w:themeColor="text1"/>
          <w:kern w:val="1"/>
        </w:rPr>
        <w:t xml:space="preserve">340 miliard v roce 2011, 312 miliard v roce 2012, </w:t>
      </w:r>
      <w:r w:rsidR="00165D79" w:rsidRPr="00165D79">
        <w:rPr>
          <w:rFonts w:ascii="Arial" w:eastAsia="SimSun" w:hAnsi="Arial" w:cs="Arial"/>
          <w:b/>
          <w:color w:val="000000" w:themeColor="text1"/>
          <w:kern w:val="1"/>
        </w:rPr>
        <w:t>347 miliard v roce 2013, 311 miliard v roce 2014)</w:t>
      </w:r>
      <w:r w:rsidR="00165D79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DC6643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D8590C">
        <w:rPr>
          <w:rFonts w:ascii="Arial" w:eastAsia="SimSun" w:hAnsi="Arial" w:cs="Arial"/>
          <w:b/>
          <w:color w:val="000000" w:themeColor="text1"/>
          <w:kern w:val="1"/>
        </w:rPr>
        <w:t>na konci prosince</w:t>
      </w:r>
      <w:r w:rsidR="000C7B62" w:rsidRPr="007265CC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7265CC">
        <w:rPr>
          <w:rFonts w:ascii="Arial" w:eastAsia="SimSun" w:hAnsi="Arial" w:cs="Arial"/>
          <w:b/>
          <w:color w:val="000000" w:themeColor="text1"/>
          <w:kern w:val="1"/>
        </w:rPr>
        <w:t>2015</w:t>
      </w:r>
      <w:r w:rsidR="00DB5326" w:rsidRPr="007265CC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F37DB" w:rsidRPr="007265CC" w:rsidRDefault="00EF37DB" w:rsidP="00F9193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407AA" w:rsidRDefault="000F2333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B31C13" w:rsidRPr="00155AB4">
        <w:rPr>
          <w:rFonts w:ascii="Arial" w:hAnsi="Arial" w:cs="Arial"/>
          <w:color w:val="000000" w:themeColor="text1"/>
        </w:rPr>
        <w:t>ilance</w:t>
      </w:r>
      <w:r w:rsidR="00511F95" w:rsidRPr="00155AB4">
        <w:rPr>
          <w:rFonts w:ascii="Arial" w:hAnsi="Arial" w:cs="Arial"/>
          <w:color w:val="000000" w:themeColor="text1"/>
        </w:rPr>
        <w:t xml:space="preserve"> </w:t>
      </w:r>
      <w:r w:rsidRPr="00155AB4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oňského</w:t>
      </w:r>
      <w:r w:rsidRPr="00155AB4">
        <w:rPr>
          <w:rFonts w:ascii="Arial" w:hAnsi="Arial" w:cs="Arial"/>
          <w:color w:val="000000" w:themeColor="text1"/>
        </w:rPr>
        <w:t xml:space="preserve"> </w:t>
      </w:r>
      <w:r w:rsidR="00165D79" w:rsidRPr="00155AB4">
        <w:rPr>
          <w:rFonts w:ascii="Arial" w:hAnsi="Arial" w:cs="Arial"/>
          <w:color w:val="000000" w:themeColor="text1"/>
        </w:rPr>
        <w:t>roku</w:t>
      </w:r>
      <w:r w:rsidR="00511F95" w:rsidRPr="00155A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je v meziročním srovnání </w:t>
      </w:r>
      <w:r w:rsidR="00511F95" w:rsidRPr="00155AB4">
        <w:rPr>
          <w:rFonts w:ascii="Arial" w:hAnsi="Arial" w:cs="Arial"/>
          <w:color w:val="000000" w:themeColor="text1"/>
        </w:rPr>
        <w:t xml:space="preserve"> počtu i objemu oznámených zakázek záporná. Za dvanáct měsíců </w:t>
      </w:r>
      <w:r>
        <w:rPr>
          <w:rFonts w:ascii="Arial" w:hAnsi="Arial" w:cs="Arial"/>
          <w:color w:val="000000" w:themeColor="text1"/>
        </w:rPr>
        <w:t xml:space="preserve">roku 2015 </w:t>
      </w:r>
      <w:r w:rsidR="00511F95" w:rsidRPr="00155AB4">
        <w:rPr>
          <w:rFonts w:ascii="Arial" w:hAnsi="Arial" w:cs="Arial"/>
          <w:color w:val="000000" w:themeColor="text1"/>
        </w:rPr>
        <w:t>vypsali investoři 7471 výběrových řízení</w:t>
      </w:r>
      <w:r w:rsidR="00436192" w:rsidRPr="00155AB4">
        <w:rPr>
          <w:rFonts w:ascii="Arial" w:hAnsi="Arial" w:cs="Arial"/>
          <w:color w:val="000000" w:themeColor="text1"/>
        </w:rPr>
        <w:t xml:space="preserve"> v celkové hodnotě 262 miliard korun.</w:t>
      </w:r>
      <w:r w:rsidR="00511F95" w:rsidRPr="00155AB4">
        <w:rPr>
          <w:rFonts w:ascii="Arial" w:hAnsi="Arial" w:cs="Arial"/>
          <w:color w:val="000000" w:themeColor="text1"/>
        </w:rPr>
        <w:t xml:space="preserve"> </w:t>
      </w:r>
      <w:r w:rsidR="00436192" w:rsidRPr="00155AB4">
        <w:rPr>
          <w:rFonts w:ascii="Arial" w:hAnsi="Arial" w:cs="Arial"/>
          <w:color w:val="000000" w:themeColor="text1"/>
        </w:rPr>
        <w:t xml:space="preserve">To představuje oproti předchozímu roku </w:t>
      </w:r>
      <w:r w:rsidR="00706CF1" w:rsidRPr="00155AB4">
        <w:rPr>
          <w:rFonts w:ascii="Arial" w:hAnsi="Arial" w:cs="Arial"/>
          <w:color w:val="000000" w:themeColor="text1"/>
        </w:rPr>
        <w:t xml:space="preserve">pokles o </w:t>
      </w:r>
      <w:r w:rsidR="00436192" w:rsidRPr="00155AB4">
        <w:rPr>
          <w:rFonts w:ascii="Arial" w:hAnsi="Arial" w:cs="Arial"/>
          <w:color w:val="000000" w:themeColor="text1"/>
        </w:rPr>
        <w:t>14,7 procenta, res</w:t>
      </w:r>
      <w:r w:rsidR="009547D0" w:rsidRPr="00155AB4">
        <w:rPr>
          <w:rFonts w:ascii="Arial" w:hAnsi="Arial" w:cs="Arial"/>
          <w:color w:val="000000" w:themeColor="text1"/>
        </w:rPr>
        <w:t>pektive o 15,7 procent. Z</w:t>
      </w:r>
      <w:r w:rsidR="00436192" w:rsidRPr="00155AB4">
        <w:rPr>
          <w:rFonts w:ascii="Arial" w:hAnsi="Arial" w:cs="Arial"/>
          <w:color w:val="000000" w:themeColor="text1"/>
        </w:rPr>
        <w:t>ároveň jde</w:t>
      </w:r>
      <w:r w:rsidR="009547D0" w:rsidRPr="00155AB4">
        <w:rPr>
          <w:rFonts w:ascii="Arial" w:hAnsi="Arial" w:cs="Arial"/>
          <w:color w:val="000000" w:themeColor="text1"/>
        </w:rPr>
        <w:t xml:space="preserve"> </w:t>
      </w:r>
      <w:r w:rsidR="00436192" w:rsidRPr="00155AB4">
        <w:rPr>
          <w:rFonts w:ascii="Arial" w:hAnsi="Arial" w:cs="Arial"/>
          <w:color w:val="000000" w:themeColor="text1"/>
        </w:rPr>
        <w:t>o</w:t>
      </w:r>
      <w:r w:rsidR="009547D0" w:rsidRPr="00155AB4">
        <w:rPr>
          <w:rFonts w:ascii="Arial" w:hAnsi="Arial" w:cs="Arial"/>
          <w:color w:val="000000" w:themeColor="text1"/>
        </w:rPr>
        <w:t xml:space="preserve"> vůbec</w:t>
      </w:r>
      <w:r w:rsidR="00436192" w:rsidRPr="00155AB4">
        <w:rPr>
          <w:rFonts w:ascii="Arial" w:hAnsi="Arial" w:cs="Arial"/>
          <w:color w:val="000000" w:themeColor="text1"/>
        </w:rPr>
        <w:t xml:space="preserve"> nejnižší </w:t>
      </w:r>
      <w:r w:rsidR="009547D0" w:rsidRPr="00155AB4">
        <w:rPr>
          <w:rFonts w:ascii="Arial" w:hAnsi="Arial" w:cs="Arial"/>
          <w:color w:val="000000" w:themeColor="text1"/>
        </w:rPr>
        <w:t xml:space="preserve">celkový </w:t>
      </w:r>
      <w:r w:rsidR="00436192" w:rsidRPr="00155AB4">
        <w:rPr>
          <w:rFonts w:ascii="Arial" w:hAnsi="Arial" w:cs="Arial"/>
          <w:color w:val="000000" w:themeColor="text1"/>
        </w:rPr>
        <w:t>počet</w:t>
      </w:r>
      <w:r w:rsidR="009547D0" w:rsidRPr="00155A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vypsaný</w:t>
      </w:r>
      <w:r w:rsidR="00384E4A">
        <w:rPr>
          <w:rFonts w:ascii="Arial" w:hAnsi="Arial" w:cs="Arial"/>
          <w:color w:val="000000" w:themeColor="text1"/>
        </w:rPr>
        <w:t>ch výběrových řízení</w:t>
      </w:r>
      <w:r w:rsidR="0069393F" w:rsidRPr="0069393F">
        <w:rPr>
          <w:rFonts w:ascii="Arial" w:hAnsi="Arial" w:cs="Arial"/>
          <w:color w:val="000000" w:themeColor="text1"/>
        </w:rPr>
        <w:t xml:space="preserve"> </w:t>
      </w:r>
      <w:r w:rsidR="0069393F" w:rsidRPr="00155AB4">
        <w:rPr>
          <w:rFonts w:ascii="Arial" w:hAnsi="Arial" w:cs="Arial"/>
          <w:color w:val="000000" w:themeColor="text1"/>
        </w:rPr>
        <w:t>za poslední tři roky</w:t>
      </w:r>
      <w:r w:rsidR="0069393F">
        <w:rPr>
          <w:rFonts w:ascii="Arial" w:hAnsi="Arial" w:cs="Arial"/>
          <w:color w:val="000000" w:themeColor="text1"/>
        </w:rPr>
        <w:t xml:space="preserve"> </w:t>
      </w:r>
      <w:r w:rsidR="0069393F" w:rsidRPr="00155AB4">
        <w:rPr>
          <w:rFonts w:ascii="Arial" w:hAnsi="Arial" w:cs="Arial"/>
          <w:color w:val="000000" w:themeColor="text1"/>
        </w:rPr>
        <w:t>(7812 v roce 2013, 8762 v roce 2014)</w:t>
      </w:r>
      <w:r w:rsidR="00384E4A">
        <w:rPr>
          <w:rFonts w:ascii="Arial" w:hAnsi="Arial" w:cs="Arial"/>
          <w:color w:val="000000" w:themeColor="text1"/>
        </w:rPr>
        <w:t xml:space="preserve">. </w:t>
      </w:r>
      <w:r w:rsidR="00384E4A" w:rsidRPr="00384E4A">
        <w:rPr>
          <w:rFonts w:ascii="Arial" w:hAnsi="Arial" w:cs="Arial"/>
          <w:i/>
          <w:color w:val="000000" w:themeColor="text1"/>
        </w:rPr>
        <w:t>„Z pohledu</w:t>
      </w:r>
      <w:r w:rsidR="00436192" w:rsidRPr="00384E4A">
        <w:rPr>
          <w:rFonts w:ascii="Arial" w:hAnsi="Arial" w:cs="Arial"/>
          <w:i/>
          <w:color w:val="000000" w:themeColor="text1"/>
        </w:rPr>
        <w:t xml:space="preserve"> objem</w:t>
      </w:r>
      <w:r w:rsidRPr="00384E4A">
        <w:rPr>
          <w:rFonts w:ascii="Arial" w:hAnsi="Arial" w:cs="Arial"/>
          <w:i/>
          <w:color w:val="000000" w:themeColor="text1"/>
        </w:rPr>
        <w:t>u</w:t>
      </w:r>
      <w:r w:rsidR="00436192" w:rsidRPr="00384E4A">
        <w:rPr>
          <w:rFonts w:ascii="Arial" w:hAnsi="Arial" w:cs="Arial"/>
          <w:i/>
          <w:color w:val="000000" w:themeColor="text1"/>
        </w:rPr>
        <w:t xml:space="preserve"> zakázek</w:t>
      </w:r>
      <w:r w:rsidRPr="00384E4A">
        <w:rPr>
          <w:rFonts w:ascii="Arial" w:hAnsi="Arial" w:cs="Arial"/>
          <w:i/>
          <w:color w:val="000000" w:themeColor="text1"/>
        </w:rPr>
        <w:t xml:space="preserve"> </w:t>
      </w:r>
      <w:r w:rsidR="008A6395">
        <w:rPr>
          <w:rFonts w:ascii="Arial" w:hAnsi="Arial" w:cs="Arial"/>
          <w:i/>
          <w:color w:val="000000" w:themeColor="text1"/>
        </w:rPr>
        <w:t>představuje 262 miliard korun</w:t>
      </w:r>
      <w:r w:rsidR="0069393F" w:rsidRPr="00384E4A">
        <w:rPr>
          <w:rFonts w:ascii="Arial" w:hAnsi="Arial" w:cs="Arial"/>
          <w:i/>
          <w:color w:val="000000" w:themeColor="text1"/>
        </w:rPr>
        <w:t xml:space="preserve"> </w:t>
      </w:r>
      <w:r w:rsidR="008A6395" w:rsidRPr="00384E4A">
        <w:rPr>
          <w:rFonts w:ascii="Arial" w:hAnsi="Arial" w:cs="Arial"/>
          <w:i/>
          <w:color w:val="000000" w:themeColor="text1"/>
        </w:rPr>
        <w:t xml:space="preserve">dokonce </w:t>
      </w:r>
      <w:r w:rsidR="0069393F" w:rsidRPr="00384E4A">
        <w:rPr>
          <w:rFonts w:ascii="Arial" w:hAnsi="Arial" w:cs="Arial"/>
          <w:i/>
          <w:color w:val="000000" w:themeColor="text1"/>
        </w:rPr>
        <w:t>minim</w:t>
      </w:r>
      <w:r w:rsidR="008A6395">
        <w:rPr>
          <w:rFonts w:ascii="Arial" w:hAnsi="Arial" w:cs="Arial"/>
          <w:i/>
          <w:color w:val="000000" w:themeColor="text1"/>
        </w:rPr>
        <w:t>ální roční hodnotu</w:t>
      </w:r>
      <w:r w:rsidR="0069393F" w:rsidRPr="00384E4A">
        <w:rPr>
          <w:rFonts w:ascii="Arial" w:hAnsi="Arial" w:cs="Arial"/>
          <w:i/>
          <w:color w:val="000000" w:themeColor="text1"/>
        </w:rPr>
        <w:t xml:space="preserve"> </w:t>
      </w:r>
      <w:r w:rsidR="008A6395">
        <w:rPr>
          <w:rFonts w:ascii="Arial" w:hAnsi="Arial" w:cs="Arial"/>
          <w:i/>
          <w:color w:val="000000" w:themeColor="text1"/>
        </w:rPr>
        <w:t>v</w:t>
      </w:r>
      <w:r w:rsidR="008A6395" w:rsidRPr="00384E4A">
        <w:rPr>
          <w:rFonts w:ascii="Arial" w:hAnsi="Arial" w:cs="Arial"/>
          <w:i/>
          <w:color w:val="000000" w:themeColor="text1"/>
        </w:rPr>
        <w:t xml:space="preserve"> </w:t>
      </w:r>
      <w:r w:rsidR="0069393F">
        <w:rPr>
          <w:rFonts w:ascii="Arial" w:hAnsi="Arial" w:cs="Arial"/>
          <w:i/>
          <w:color w:val="000000" w:themeColor="text1"/>
        </w:rPr>
        <w:t>celé</w:t>
      </w:r>
      <w:r w:rsidR="008A6395">
        <w:rPr>
          <w:rFonts w:ascii="Arial" w:hAnsi="Arial" w:cs="Arial"/>
          <w:i/>
          <w:color w:val="000000" w:themeColor="text1"/>
        </w:rPr>
        <w:t>m</w:t>
      </w:r>
      <w:r w:rsidR="0069393F">
        <w:rPr>
          <w:rFonts w:ascii="Arial" w:hAnsi="Arial" w:cs="Arial"/>
          <w:i/>
          <w:color w:val="000000" w:themeColor="text1"/>
        </w:rPr>
        <w:t xml:space="preserve"> </w:t>
      </w:r>
      <w:r w:rsidRPr="00384E4A">
        <w:rPr>
          <w:rFonts w:ascii="Arial" w:hAnsi="Arial" w:cs="Arial"/>
          <w:i/>
          <w:color w:val="000000" w:themeColor="text1"/>
        </w:rPr>
        <w:t>pětileté</w:t>
      </w:r>
      <w:r w:rsidR="008A6395">
        <w:rPr>
          <w:rFonts w:ascii="Arial" w:hAnsi="Arial" w:cs="Arial"/>
          <w:i/>
          <w:color w:val="000000" w:themeColor="text1"/>
        </w:rPr>
        <w:t>m</w:t>
      </w:r>
      <w:r w:rsidRPr="00384E4A">
        <w:rPr>
          <w:rFonts w:ascii="Arial" w:hAnsi="Arial" w:cs="Arial"/>
          <w:i/>
          <w:color w:val="000000" w:themeColor="text1"/>
        </w:rPr>
        <w:t xml:space="preserve"> období sledování vývoje </w:t>
      </w:r>
      <w:r w:rsidR="008A6395">
        <w:rPr>
          <w:rFonts w:ascii="Arial" w:hAnsi="Arial" w:cs="Arial"/>
          <w:i/>
          <w:color w:val="000000" w:themeColor="text1"/>
        </w:rPr>
        <w:t xml:space="preserve">zakázek </w:t>
      </w:r>
      <w:r w:rsidR="009547D0" w:rsidRPr="00384E4A">
        <w:rPr>
          <w:rFonts w:ascii="Arial" w:hAnsi="Arial" w:cs="Arial"/>
          <w:i/>
          <w:color w:val="000000" w:themeColor="text1"/>
        </w:rPr>
        <w:t>(</w:t>
      </w:r>
      <w:r w:rsidRPr="00384E4A">
        <w:rPr>
          <w:rFonts w:ascii="Arial" w:eastAsia="SimSun" w:hAnsi="Arial" w:cs="Arial"/>
          <w:i/>
          <w:color w:val="000000" w:themeColor="text1"/>
          <w:kern w:val="1"/>
        </w:rPr>
        <w:t xml:space="preserve">340 miliard v roce 2011, 312 miliard v roce 2012, </w:t>
      </w:r>
      <w:r w:rsidR="009547D0" w:rsidRPr="00384E4A">
        <w:rPr>
          <w:rFonts w:ascii="Arial" w:hAnsi="Arial" w:cs="Arial"/>
          <w:i/>
          <w:color w:val="000000" w:themeColor="text1"/>
        </w:rPr>
        <w:t>347 miliard v roce 2013, 311</w:t>
      </w:r>
      <w:r w:rsidR="00384E4A" w:rsidRPr="00384E4A">
        <w:rPr>
          <w:rFonts w:ascii="Arial" w:hAnsi="Arial" w:cs="Arial"/>
          <w:i/>
          <w:color w:val="000000" w:themeColor="text1"/>
        </w:rPr>
        <w:t xml:space="preserve"> miliard v roce 2014),“ </w:t>
      </w:r>
      <w:r w:rsidR="00384E4A">
        <w:rPr>
          <w:rFonts w:ascii="Arial" w:hAnsi="Arial" w:cs="Arial"/>
          <w:color w:val="000000" w:themeColor="text1"/>
        </w:rPr>
        <w:t xml:space="preserve">upřesňuje </w:t>
      </w:r>
      <w:r w:rsidR="00384E4A" w:rsidRPr="00384E4A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</w:p>
    <w:p w:rsidR="00931D64" w:rsidRDefault="00931D64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oznámení o zakázce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743"/>
        <w:gridCol w:w="1064"/>
        <w:gridCol w:w="1048"/>
        <w:gridCol w:w="1062"/>
        <w:gridCol w:w="1069"/>
        <w:gridCol w:w="1043"/>
        <w:gridCol w:w="1065"/>
      </w:tblGrid>
      <w:tr w:rsidR="00931D64" w:rsidRPr="00931D64" w:rsidTr="005E1A1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+19,3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53 878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+15,5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+21,4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108 054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+71,7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+20,2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87 114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+43,8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1 877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-10,3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61 655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-65,2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  <w:t>8 762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+12,2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cs-CZ"/>
              </w:rPr>
              <w:t>310 701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-10,6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58 273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+8,2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-12,0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99 266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-8,1</w:t>
            </w:r>
          </w:p>
        </w:tc>
      </w:tr>
      <w:tr w:rsidR="00931D64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1 825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53 707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931D64" w:rsidRPr="00931D64" w:rsidRDefault="00931D64" w:rsidP="00931D6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-38,3</w:t>
            </w:r>
          </w:p>
        </w:tc>
      </w:tr>
      <w:tr w:rsidR="00ED1DF8" w:rsidRPr="00931D64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ED1DF8" w:rsidRPr="00931D64" w:rsidRDefault="00ED1DF8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ED1DF8" w:rsidRPr="00ED1DF8" w:rsidRDefault="00ED1DF8" w:rsidP="00ED1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1 505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F8" w:rsidRPr="00ED1DF8" w:rsidRDefault="00ED1DF8" w:rsidP="00ED1D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ED1DF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50 829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ED1DF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-17,6</w:t>
            </w:r>
          </w:p>
        </w:tc>
      </w:tr>
      <w:tr w:rsidR="00ED1DF8" w:rsidRPr="007C57A5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ED1DF8" w:rsidRPr="00931D64" w:rsidRDefault="00ED1DF8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DF8" w:rsidRPr="00ED1DF8" w:rsidRDefault="00ED1DF8" w:rsidP="00ED1DF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Prosinec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DF8" w:rsidRPr="00ED1DF8" w:rsidRDefault="00ED1DF8" w:rsidP="00ED1D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ED1DF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-15,5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17 821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ED1DF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-16,8</w:t>
            </w:r>
          </w:p>
        </w:tc>
      </w:tr>
      <w:tr w:rsidR="00ED1DF8" w:rsidRPr="007C57A5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ED1DF8" w:rsidRPr="00931D64" w:rsidRDefault="00ED1DF8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DF8" w:rsidRPr="00ED1DF8" w:rsidRDefault="00ED1DF8" w:rsidP="00ED1DF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7 471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DF8" w:rsidRPr="00ED1DF8" w:rsidRDefault="00ED1DF8" w:rsidP="00ED1D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ED1DF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262 075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ED1DF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ED1DF8" w:rsidRPr="00ED1DF8" w:rsidRDefault="00ED1DF8" w:rsidP="00ED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ED1DF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-15,7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B64AEB" w:rsidRDefault="00B64AE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20111" w:rsidRPr="00155AB4" w:rsidRDefault="00922AEB" w:rsidP="001201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55AB4">
        <w:rPr>
          <w:rFonts w:ascii="Arial" w:hAnsi="Arial" w:cs="Arial"/>
          <w:color w:val="000000" w:themeColor="text1"/>
        </w:rPr>
        <w:t>Z výše uved</w:t>
      </w:r>
      <w:r w:rsidR="00A13045" w:rsidRPr="00155AB4">
        <w:rPr>
          <w:rFonts w:ascii="Arial" w:hAnsi="Arial" w:cs="Arial"/>
          <w:color w:val="000000" w:themeColor="text1"/>
        </w:rPr>
        <w:t>ených výběrových řízení veřejní investoři ukončili a zadali konkrétním firmám více než</w:t>
      </w:r>
      <w:r w:rsidRPr="00155AB4">
        <w:rPr>
          <w:rFonts w:ascii="Arial" w:hAnsi="Arial" w:cs="Arial"/>
          <w:color w:val="000000" w:themeColor="text1"/>
        </w:rPr>
        <w:t xml:space="preserve"> </w:t>
      </w:r>
      <w:r w:rsidR="00A13045" w:rsidRPr="00155AB4">
        <w:rPr>
          <w:rFonts w:ascii="Arial" w:hAnsi="Arial" w:cs="Arial"/>
          <w:color w:val="000000" w:themeColor="text1"/>
        </w:rPr>
        <w:t>polovinu</w:t>
      </w:r>
      <w:r w:rsidR="000F2333">
        <w:rPr>
          <w:rFonts w:ascii="Arial" w:hAnsi="Arial" w:cs="Arial"/>
          <w:color w:val="000000" w:themeColor="text1"/>
        </w:rPr>
        <w:t xml:space="preserve"> zakázek</w:t>
      </w:r>
      <w:r w:rsidR="00A13045" w:rsidRPr="00155AB4">
        <w:rPr>
          <w:rFonts w:ascii="Arial" w:hAnsi="Arial" w:cs="Arial"/>
          <w:color w:val="000000" w:themeColor="text1"/>
        </w:rPr>
        <w:t xml:space="preserve"> (55</w:t>
      </w:r>
      <w:r w:rsidR="00120111" w:rsidRPr="00155AB4">
        <w:rPr>
          <w:rFonts w:ascii="Arial" w:hAnsi="Arial" w:cs="Arial"/>
          <w:color w:val="000000" w:themeColor="text1"/>
        </w:rPr>
        <w:t xml:space="preserve"> pr</w:t>
      </w:r>
      <w:r w:rsidR="00A13045" w:rsidRPr="00155AB4">
        <w:rPr>
          <w:rFonts w:ascii="Arial" w:hAnsi="Arial" w:cs="Arial"/>
          <w:color w:val="000000" w:themeColor="text1"/>
        </w:rPr>
        <w:t>ocent) v celkové hodnotě 136</w:t>
      </w:r>
      <w:r w:rsidR="00120111" w:rsidRPr="00155AB4">
        <w:rPr>
          <w:rFonts w:ascii="Arial" w:hAnsi="Arial" w:cs="Arial"/>
          <w:color w:val="000000" w:themeColor="text1"/>
        </w:rPr>
        <w:t>,4 miliardy korun</w:t>
      </w:r>
      <w:r w:rsidR="00A13045" w:rsidRPr="00155AB4">
        <w:rPr>
          <w:rFonts w:ascii="Arial" w:hAnsi="Arial" w:cs="Arial"/>
          <w:color w:val="000000" w:themeColor="text1"/>
        </w:rPr>
        <w:t xml:space="preserve"> (52 procent objemu)</w:t>
      </w:r>
      <w:r w:rsidR="00120111" w:rsidRPr="00155AB4">
        <w:rPr>
          <w:rFonts w:ascii="Arial" w:hAnsi="Arial" w:cs="Arial"/>
          <w:color w:val="000000" w:themeColor="text1"/>
        </w:rPr>
        <w:t xml:space="preserve">. Skutečná částka, </w:t>
      </w:r>
      <w:r w:rsidR="00511F95" w:rsidRPr="00155AB4">
        <w:rPr>
          <w:rFonts w:ascii="Arial" w:hAnsi="Arial" w:cs="Arial"/>
          <w:color w:val="000000" w:themeColor="text1"/>
        </w:rPr>
        <w:t>za kterou byly zakázky nakonec soutěženy</w:t>
      </w:r>
      <w:r w:rsidR="00237E98" w:rsidRPr="00155AB4">
        <w:rPr>
          <w:rFonts w:ascii="Arial" w:hAnsi="Arial" w:cs="Arial"/>
          <w:color w:val="000000" w:themeColor="text1"/>
        </w:rPr>
        <w:t xml:space="preserve">, </w:t>
      </w:r>
      <w:r w:rsidR="00120111" w:rsidRPr="00155AB4">
        <w:rPr>
          <w:rFonts w:ascii="Arial" w:hAnsi="Arial" w:cs="Arial"/>
          <w:color w:val="000000" w:themeColor="text1"/>
        </w:rPr>
        <w:t>však</w:t>
      </w:r>
      <w:r w:rsidR="00237E98" w:rsidRPr="00155AB4">
        <w:rPr>
          <w:rFonts w:ascii="Arial" w:hAnsi="Arial" w:cs="Arial"/>
          <w:color w:val="000000" w:themeColor="text1"/>
        </w:rPr>
        <w:t xml:space="preserve"> byla</w:t>
      </w:r>
      <w:r w:rsidR="00120111" w:rsidRPr="00155AB4">
        <w:rPr>
          <w:rFonts w:ascii="Arial" w:hAnsi="Arial" w:cs="Arial"/>
          <w:color w:val="000000" w:themeColor="text1"/>
        </w:rPr>
        <w:t xml:space="preserve"> o</w:t>
      </w:r>
      <w:r w:rsidR="00511F95" w:rsidRPr="00155AB4">
        <w:rPr>
          <w:rFonts w:ascii="Arial" w:hAnsi="Arial" w:cs="Arial"/>
          <w:color w:val="000000" w:themeColor="text1"/>
        </w:rPr>
        <w:t xml:space="preserve"> desetinu nižší (123,1</w:t>
      </w:r>
      <w:r w:rsidR="00237E98" w:rsidRPr="00155AB4">
        <w:rPr>
          <w:rFonts w:ascii="Arial" w:hAnsi="Arial" w:cs="Arial"/>
          <w:color w:val="000000" w:themeColor="text1"/>
        </w:rPr>
        <w:t xml:space="preserve"> miliardy korun). </w:t>
      </w:r>
      <w:r w:rsidR="00120111" w:rsidRPr="00155AB4">
        <w:rPr>
          <w:rFonts w:ascii="Arial" w:hAnsi="Arial" w:cs="Arial"/>
        </w:rPr>
        <w:t>Po odečtení zada</w:t>
      </w:r>
      <w:r w:rsidR="00511F95" w:rsidRPr="00155AB4">
        <w:rPr>
          <w:rFonts w:ascii="Arial" w:hAnsi="Arial" w:cs="Arial"/>
        </w:rPr>
        <w:t xml:space="preserve">ných a zrušených zakázek </w:t>
      </w:r>
      <w:r w:rsidR="00120111" w:rsidRPr="00155AB4">
        <w:rPr>
          <w:rFonts w:ascii="Arial" w:hAnsi="Arial" w:cs="Arial"/>
        </w:rPr>
        <w:t>zbývají v sy</w:t>
      </w:r>
      <w:r w:rsidR="00511F95" w:rsidRPr="00155AB4">
        <w:rPr>
          <w:rFonts w:ascii="Arial" w:hAnsi="Arial" w:cs="Arial"/>
        </w:rPr>
        <w:t>stému ještě soutěže v hodnotě 93,2</w:t>
      </w:r>
      <w:r w:rsidR="00120111" w:rsidRPr="00155AB4">
        <w:rPr>
          <w:rFonts w:ascii="Arial" w:hAnsi="Arial" w:cs="Arial"/>
        </w:rPr>
        <w:t xml:space="preserve"> miliard</w:t>
      </w:r>
      <w:r w:rsidR="00E74F27">
        <w:rPr>
          <w:rFonts w:ascii="Arial" w:hAnsi="Arial" w:cs="Arial"/>
        </w:rPr>
        <w:t>y</w:t>
      </w:r>
      <w:r w:rsidR="00120111" w:rsidRPr="00155AB4">
        <w:rPr>
          <w:rFonts w:ascii="Arial" w:hAnsi="Arial" w:cs="Arial"/>
        </w:rPr>
        <w:t xml:space="preserve"> korun.</w:t>
      </w:r>
      <w:r w:rsidR="00D62041" w:rsidRPr="00D62041">
        <w:t xml:space="preserve"> </w:t>
      </w:r>
      <w:r w:rsidR="00384E4A" w:rsidRPr="00384E4A">
        <w:rPr>
          <w:i/>
        </w:rPr>
        <w:t>„</w:t>
      </w:r>
      <w:r w:rsidR="00D62041" w:rsidRPr="00384E4A">
        <w:rPr>
          <w:rFonts w:ascii="Arial" w:hAnsi="Arial" w:cs="Arial"/>
          <w:i/>
        </w:rPr>
        <w:t>České ekonomice se daří</w:t>
      </w:r>
      <w:r w:rsidR="00E74F27">
        <w:rPr>
          <w:rFonts w:ascii="Arial" w:hAnsi="Arial" w:cs="Arial"/>
          <w:i/>
        </w:rPr>
        <w:t>,</w:t>
      </w:r>
      <w:r w:rsidR="00D62041" w:rsidRPr="00384E4A">
        <w:rPr>
          <w:rFonts w:ascii="Arial" w:hAnsi="Arial" w:cs="Arial"/>
          <w:i/>
        </w:rPr>
        <w:t xml:space="preserve"> a tak nevidím důvod, proč by měly investice klesat. Snad se situace v následujících měsících změní tak, aby firmy mnohem více pocítily proinvestiční politiku vlády</w:t>
      </w:r>
      <w:r w:rsidR="00384E4A" w:rsidRPr="00384E4A">
        <w:rPr>
          <w:rFonts w:ascii="Arial" w:hAnsi="Arial" w:cs="Arial"/>
          <w:i/>
        </w:rPr>
        <w:t>,“</w:t>
      </w:r>
      <w:r w:rsidR="00384E4A">
        <w:rPr>
          <w:rFonts w:ascii="Arial" w:hAnsi="Arial" w:cs="Arial"/>
        </w:rPr>
        <w:t xml:space="preserve"> říká </w:t>
      </w:r>
      <w:r w:rsidR="00384E4A" w:rsidRPr="00384E4A">
        <w:rPr>
          <w:rFonts w:ascii="Arial" w:hAnsi="Arial" w:cs="Arial"/>
          <w:b/>
          <w:i/>
        </w:rPr>
        <w:t>Mário</w:t>
      </w:r>
      <w:r w:rsidR="00D62041" w:rsidRPr="00384E4A">
        <w:rPr>
          <w:rFonts w:ascii="Arial" w:hAnsi="Arial" w:cs="Arial"/>
          <w:b/>
          <w:i/>
        </w:rPr>
        <w:t xml:space="preserve"> Červenka</w:t>
      </w:r>
      <w:r w:rsidR="00384E4A" w:rsidRPr="00384E4A">
        <w:rPr>
          <w:rFonts w:ascii="Arial" w:hAnsi="Arial" w:cs="Arial"/>
          <w:b/>
          <w:i/>
        </w:rPr>
        <w:t xml:space="preserve">, ředitel developerské společnosti </w:t>
      </w:r>
      <w:proofErr w:type="gramStart"/>
      <w:r w:rsidR="00384E4A" w:rsidRPr="00384E4A">
        <w:rPr>
          <w:rFonts w:ascii="Arial" w:hAnsi="Arial" w:cs="Arial"/>
          <w:b/>
          <w:i/>
        </w:rPr>
        <w:t>O.M.</w:t>
      </w:r>
      <w:proofErr w:type="gramEnd"/>
      <w:r w:rsidR="00384E4A" w:rsidRPr="00384E4A">
        <w:rPr>
          <w:rFonts w:ascii="Arial" w:hAnsi="Arial" w:cs="Arial"/>
          <w:b/>
          <w:i/>
        </w:rPr>
        <w:t>C. Invest.</w:t>
      </w:r>
    </w:p>
    <w:p w:rsidR="006D2CD0" w:rsidRDefault="00922AE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55AB4">
        <w:rPr>
          <w:rFonts w:ascii="Arial" w:hAnsi="Arial" w:cs="Arial"/>
          <w:color w:val="000000" w:themeColor="text1"/>
        </w:rPr>
        <w:t xml:space="preserve"> </w:t>
      </w:r>
    </w:p>
    <w:p w:rsidR="000F2333" w:rsidRPr="00155AB4" w:rsidRDefault="000F2333" w:rsidP="000F233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55AB4">
        <w:rPr>
          <w:rFonts w:ascii="Arial" w:hAnsi="Arial" w:cs="Arial"/>
          <w:color w:val="000000" w:themeColor="text1"/>
        </w:rPr>
        <w:t xml:space="preserve">V prosinci roku 2015 připravili státní investoři 492 výběrových řízení v hodnotě 17,8 miliardy korun. Oproti odpovídajícímu období roku 2014 </w:t>
      </w:r>
      <w:r w:rsidR="00E74F27">
        <w:rPr>
          <w:rFonts w:ascii="Arial" w:hAnsi="Arial" w:cs="Arial"/>
          <w:color w:val="000000" w:themeColor="text1"/>
        </w:rPr>
        <w:t>se jedná</w:t>
      </w:r>
      <w:r w:rsidR="00E74F27" w:rsidRPr="00155AB4">
        <w:rPr>
          <w:rFonts w:ascii="Arial" w:hAnsi="Arial" w:cs="Arial"/>
          <w:color w:val="000000" w:themeColor="text1"/>
        </w:rPr>
        <w:t xml:space="preserve"> </w:t>
      </w:r>
      <w:r w:rsidRPr="00155AB4">
        <w:rPr>
          <w:rFonts w:ascii="Arial" w:hAnsi="Arial" w:cs="Arial"/>
          <w:color w:val="000000" w:themeColor="text1"/>
        </w:rPr>
        <w:t>o pokles počtu zakázek o 15,5 procenta a jejich objemu o téměř 17 procent. Největší výběrové řízení v hodnotě 1,9 miliardy korun oznámila Technická správa komunikací hlavního města Prahy.</w:t>
      </w:r>
      <w:r w:rsidR="006E09D3">
        <w:rPr>
          <w:rFonts w:ascii="Arial" w:hAnsi="Arial" w:cs="Arial"/>
          <w:color w:val="000000" w:themeColor="text1"/>
        </w:rPr>
        <w:t xml:space="preserve"> </w:t>
      </w:r>
      <w:r w:rsidR="006E09D3" w:rsidRPr="00384E4A">
        <w:rPr>
          <w:rFonts w:ascii="Arial" w:hAnsi="Arial" w:cs="Arial"/>
          <w:i/>
          <w:color w:val="000000" w:themeColor="text1"/>
        </w:rPr>
        <w:t xml:space="preserve">„Přestože </w:t>
      </w:r>
      <w:r w:rsidR="00E74F27">
        <w:rPr>
          <w:rFonts w:ascii="Arial" w:hAnsi="Arial" w:cs="Arial"/>
          <w:i/>
          <w:color w:val="000000" w:themeColor="text1"/>
        </w:rPr>
        <w:t xml:space="preserve">byl </w:t>
      </w:r>
      <w:r w:rsidR="006E09D3" w:rsidRPr="00384E4A">
        <w:rPr>
          <w:rFonts w:ascii="Arial" w:hAnsi="Arial" w:cs="Arial"/>
          <w:i/>
          <w:color w:val="000000" w:themeColor="text1"/>
        </w:rPr>
        <w:t xml:space="preserve">počet i hodnota vypsaných výběrových řízení v minulém roce </w:t>
      </w:r>
      <w:r w:rsidR="00E74F27">
        <w:rPr>
          <w:rFonts w:ascii="Arial" w:hAnsi="Arial" w:cs="Arial"/>
          <w:i/>
          <w:color w:val="000000" w:themeColor="text1"/>
        </w:rPr>
        <w:t>na nižší úrovni</w:t>
      </w:r>
      <w:r w:rsidR="006E09D3" w:rsidRPr="00384E4A">
        <w:rPr>
          <w:rFonts w:ascii="Arial" w:hAnsi="Arial" w:cs="Arial"/>
          <w:i/>
          <w:color w:val="000000" w:themeColor="text1"/>
        </w:rPr>
        <w:t xml:space="preserve">, </w:t>
      </w:r>
      <w:r w:rsidR="00E74F27">
        <w:rPr>
          <w:rFonts w:ascii="Arial" w:hAnsi="Arial" w:cs="Arial"/>
          <w:i/>
          <w:color w:val="000000" w:themeColor="text1"/>
        </w:rPr>
        <w:t xml:space="preserve">zaznamenáváme vyšší </w:t>
      </w:r>
      <w:r w:rsidR="006E09D3" w:rsidRPr="00384E4A">
        <w:rPr>
          <w:rFonts w:ascii="Arial" w:hAnsi="Arial" w:cs="Arial"/>
          <w:i/>
          <w:color w:val="000000" w:themeColor="text1"/>
        </w:rPr>
        <w:t>zájem o Stavební veletrhy Brno 2016 díky celkovému ekonomickému vývoji v České republice</w:t>
      </w:r>
      <w:r w:rsidR="00E74F27">
        <w:rPr>
          <w:rFonts w:ascii="Arial" w:hAnsi="Arial" w:cs="Arial"/>
          <w:i/>
          <w:color w:val="000000" w:themeColor="text1"/>
        </w:rPr>
        <w:t>.</w:t>
      </w:r>
      <w:r w:rsidR="006E09D3" w:rsidRPr="00384E4A">
        <w:rPr>
          <w:rFonts w:ascii="Arial" w:hAnsi="Arial" w:cs="Arial"/>
          <w:i/>
          <w:color w:val="000000" w:themeColor="text1"/>
        </w:rPr>
        <w:t xml:space="preserve"> Osobní kontakt je i nadále nenahraditelný. I když si lidé mohou v dnešní době najít základní informace na internetu, velké množství preferuje osobní konzultace se zástupci společností právě na našem veletrhu</w:t>
      </w:r>
      <w:r w:rsidR="00384E4A">
        <w:rPr>
          <w:rFonts w:ascii="Arial" w:hAnsi="Arial" w:cs="Arial"/>
          <w:i/>
          <w:color w:val="000000" w:themeColor="text1"/>
        </w:rPr>
        <w:t>,</w:t>
      </w:r>
      <w:r w:rsidR="006E09D3" w:rsidRPr="00384E4A">
        <w:rPr>
          <w:rFonts w:ascii="Arial" w:hAnsi="Arial" w:cs="Arial"/>
          <w:i/>
          <w:color w:val="000000" w:themeColor="text1"/>
        </w:rPr>
        <w:t>“</w:t>
      </w:r>
      <w:r w:rsidR="00384E4A">
        <w:rPr>
          <w:rFonts w:ascii="Arial" w:hAnsi="Arial" w:cs="Arial"/>
          <w:i/>
          <w:color w:val="000000" w:themeColor="text1"/>
        </w:rPr>
        <w:t xml:space="preserve"> </w:t>
      </w:r>
      <w:r w:rsidR="00384E4A">
        <w:rPr>
          <w:rFonts w:ascii="Arial" w:hAnsi="Arial" w:cs="Arial"/>
          <w:color w:val="000000" w:themeColor="text1"/>
        </w:rPr>
        <w:t>ko</w:t>
      </w:r>
      <w:r w:rsidR="00E74F27">
        <w:rPr>
          <w:rFonts w:ascii="Arial" w:hAnsi="Arial" w:cs="Arial"/>
          <w:color w:val="000000" w:themeColor="text1"/>
        </w:rPr>
        <w:t>nstatuje</w:t>
      </w:r>
      <w:r w:rsidR="006E09D3">
        <w:rPr>
          <w:rFonts w:ascii="Arial" w:hAnsi="Arial" w:cs="Arial"/>
          <w:color w:val="000000" w:themeColor="text1"/>
        </w:rPr>
        <w:t xml:space="preserve"> </w:t>
      </w:r>
      <w:r w:rsidR="006E09D3" w:rsidRPr="00384E4A">
        <w:rPr>
          <w:rFonts w:ascii="Arial" w:hAnsi="Arial" w:cs="Arial"/>
          <w:b/>
          <w:i/>
          <w:color w:val="000000" w:themeColor="text1"/>
        </w:rPr>
        <w:t>Radim Tichý</w:t>
      </w:r>
      <w:r w:rsidR="00384E4A" w:rsidRPr="00384E4A">
        <w:rPr>
          <w:rFonts w:ascii="Arial" w:hAnsi="Arial" w:cs="Arial"/>
          <w:b/>
          <w:i/>
          <w:color w:val="000000" w:themeColor="text1"/>
        </w:rPr>
        <w:t>, ředitel Stavebních veletrhů Brno.</w:t>
      </w:r>
    </w:p>
    <w:p w:rsidR="000F2333" w:rsidRPr="00155AB4" w:rsidRDefault="000F2333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7265CC" w:rsidRDefault="00313EB0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55AB4">
        <w:rPr>
          <w:rFonts w:ascii="Arial" w:hAnsi="Arial" w:cs="Arial"/>
          <w:color w:val="000000" w:themeColor="text1"/>
        </w:rPr>
        <w:t>V průběhu roku</w:t>
      </w:r>
      <w:r w:rsidR="00922AEB" w:rsidRPr="00155AB4">
        <w:rPr>
          <w:rFonts w:ascii="Arial" w:hAnsi="Arial" w:cs="Arial"/>
          <w:color w:val="000000" w:themeColor="text1"/>
        </w:rPr>
        <w:t xml:space="preserve"> 2015 bylo</w:t>
      </w:r>
      <w:r w:rsidR="00773F91" w:rsidRPr="00155AB4">
        <w:rPr>
          <w:rFonts w:ascii="Arial" w:hAnsi="Arial" w:cs="Arial"/>
          <w:color w:val="000000" w:themeColor="text1"/>
        </w:rPr>
        <w:t xml:space="preserve"> </w:t>
      </w:r>
      <w:r w:rsidR="007C22B5" w:rsidRPr="00155AB4">
        <w:rPr>
          <w:rFonts w:ascii="Arial" w:hAnsi="Arial" w:cs="Arial"/>
          <w:color w:val="000000" w:themeColor="text1"/>
        </w:rPr>
        <w:t xml:space="preserve">zadáno </w:t>
      </w:r>
      <w:r w:rsidRPr="00155AB4">
        <w:rPr>
          <w:rFonts w:ascii="Arial" w:hAnsi="Arial" w:cs="Arial"/>
          <w:color w:val="000000" w:themeColor="text1"/>
        </w:rPr>
        <w:t>konkrétním dodavatelům 14 828 zakázek, což je o 8</w:t>
      </w:r>
      <w:r w:rsidR="00922AEB" w:rsidRPr="00155AB4">
        <w:rPr>
          <w:rFonts w:ascii="Arial" w:hAnsi="Arial" w:cs="Arial"/>
          <w:color w:val="000000" w:themeColor="text1"/>
        </w:rPr>
        <w:t>,8</w:t>
      </w:r>
      <w:r w:rsidR="00395602" w:rsidRPr="00155AB4">
        <w:rPr>
          <w:rFonts w:ascii="Arial" w:hAnsi="Arial" w:cs="Arial"/>
          <w:color w:val="000000" w:themeColor="text1"/>
        </w:rPr>
        <w:t xml:space="preserve"> procenta</w:t>
      </w:r>
      <w:r w:rsidR="00773F91" w:rsidRPr="00155AB4">
        <w:rPr>
          <w:rFonts w:ascii="Arial" w:hAnsi="Arial" w:cs="Arial"/>
          <w:color w:val="000000" w:themeColor="text1"/>
        </w:rPr>
        <w:t xml:space="preserve"> více než </w:t>
      </w:r>
      <w:r w:rsidRPr="00155AB4">
        <w:rPr>
          <w:rFonts w:ascii="Arial" w:hAnsi="Arial" w:cs="Arial"/>
          <w:color w:val="000000" w:themeColor="text1"/>
        </w:rPr>
        <w:t>v roce předchozím</w:t>
      </w:r>
      <w:r w:rsidR="00773F91" w:rsidRPr="00155AB4">
        <w:rPr>
          <w:rFonts w:ascii="Arial" w:hAnsi="Arial" w:cs="Arial"/>
          <w:color w:val="000000" w:themeColor="text1"/>
        </w:rPr>
        <w:t>.</w:t>
      </w:r>
      <w:r w:rsidR="00E2179C" w:rsidRPr="00155AB4">
        <w:rPr>
          <w:rFonts w:ascii="Arial" w:hAnsi="Arial" w:cs="Arial"/>
          <w:color w:val="000000" w:themeColor="text1"/>
        </w:rPr>
        <w:t xml:space="preserve"> Objem zadaných zakázek dosáhl hodnoty </w:t>
      </w:r>
      <w:r w:rsidR="00E74F27">
        <w:rPr>
          <w:rFonts w:ascii="Arial" w:hAnsi="Arial" w:cs="Arial"/>
          <w:color w:val="000000" w:themeColor="text1"/>
        </w:rPr>
        <w:t xml:space="preserve">pouze </w:t>
      </w:r>
      <w:r w:rsidR="00E2179C" w:rsidRPr="00155AB4">
        <w:rPr>
          <w:rFonts w:ascii="Arial" w:hAnsi="Arial" w:cs="Arial"/>
          <w:color w:val="000000" w:themeColor="text1"/>
        </w:rPr>
        <w:t xml:space="preserve">260 miliard korun a zaznamenal tak v meziročním srovnání čtvrtinový pokles (25,6 procenta). </w:t>
      </w:r>
      <w:r w:rsidR="00773F91" w:rsidRPr="00155AB4">
        <w:rPr>
          <w:rFonts w:ascii="Arial" w:hAnsi="Arial" w:cs="Arial"/>
          <w:color w:val="000000" w:themeColor="text1"/>
        </w:rPr>
        <w:t xml:space="preserve">Vývoj </w:t>
      </w:r>
      <w:r w:rsidR="00E74F27">
        <w:rPr>
          <w:rFonts w:ascii="Arial" w:hAnsi="Arial" w:cs="Arial"/>
          <w:color w:val="000000" w:themeColor="text1"/>
        </w:rPr>
        <w:t xml:space="preserve">byl </w:t>
      </w:r>
      <w:r w:rsidR="00773F91" w:rsidRPr="00155AB4">
        <w:rPr>
          <w:rFonts w:ascii="Arial" w:hAnsi="Arial" w:cs="Arial"/>
          <w:color w:val="000000" w:themeColor="text1"/>
        </w:rPr>
        <w:t>ale značně ovlivn</w:t>
      </w:r>
      <w:r w:rsidR="00E74F27">
        <w:rPr>
          <w:rFonts w:ascii="Arial" w:hAnsi="Arial" w:cs="Arial"/>
          <w:color w:val="000000" w:themeColor="text1"/>
        </w:rPr>
        <w:t>ěn</w:t>
      </w:r>
      <w:r w:rsidR="00773F91" w:rsidRPr="00155AB4">
        <w:rPr>
          <w:rFonts w:ascii="Arial" w:hAnsi="Arial" w:cs="Arial"/>
          <w:color w:val="000000" w:themeColor="text1"/>
        </w:rPr>
        <w:t xml:space="preserve"> velk</w:t>
      </w:r>
      <w:r w:rsidR="00E74F27">
        <w:rPr>
          <w:rFonts w:ascii="Arial" w:hAnsi="Arial" w:cs="Arial"/>
          <w:color w:val="000000" w:themeColor="text1"/>
        </w:rPr>
        <w:t>ými</w:t>
      </w:r>
      <w:r w:rsidR="00773F91" w:rsidRPr="00155AB4">
        <w:rPr>
          <w:rFonts w:ascii="Arial" w:hAnsi="Arial" w:cs="Arial"/>
          <w:color w:val="000000" w:themeColor="text1"/>
        </w:rPr>
        <w:t xml:space="preserve"> zakázk</w:t>
      </w:r>
      <w:r w:rsidR="00E74F27">
        <w:rPr>
          <w:rFonts w:ascii="Arial" w:hAnsi="Arial" w:cs="Arial"/>
          <w:color w:val="000000" w:themeColor="text1"/>
        </w:rPr>
        <w:t>ami</w:t>
      </w:r>
      <w:r w:rsidR="00773F91" w:rsidRPr="00155AB4">
        <w:rPr>
          <w:rFonts w:ascii="Arial" w:hAnsi="Arial" w:cs="Arial"/>
          <w:color w:val="000000" w:themeColor="text1"/>
        </w:rPr>
        <w:t xml:space="preserve"> společností ČEPRO, NET4GAS a České dráhy v c</w:t>
      </w:r>
      <w:r w:rsidR="00395602" w:rsidRPr="00155AB4">
        <w:rPr>
          <w:rFonts w:ascii="Arial" w:hAnsi="Arial" w:cs="Arial"/>
          <w:color w:val="000000" w:themeColor="text1"/>
        </w:rPr>
        <w:t>elkové hodnotě téměř 125 miliard korun</w:t>
      </w:r>
      <w:r w:rsidR="0000424D" w:rsidRPr="00155AB4">
        <w:rPr>
          <w:rFonts w:ascii="Arial" w:hAnsi="Arial" w:cs="Arial"/>
          <w:color w:val="000000" w:themeColor="text1"/>
        </w:rPr>
        <w:t xml:space="preserve"> </w:t>
      </w:r>
      <w:r w:rsidR="00E74F27">
        <w:rPr>
          <w:rFonts w:ascii="Arial" w:hAnsi="Arial" w:cs="Arial"/>
          <w:color w:val="000000" w:themeColor="text1"/>
        </w:rPr>
        <w:t>na</w:t>
      </w:r>
      <w:r w:rsidR="00E74F27" w:rsidRPr="00155AB4">
        <w:rPr>
          <w:rFonts w:ascii="Arial" w:hAnsi="Arial" w:cs="Arial"/>
          <w:color w:val="000000" w:themeColor="text1"/>
        </w:rPr>
        <w:t xml:space="preserve"> </w:t>
      </w:r>
      <w:r w:rsidR="0000424D" w:rsidRPr="00155AB4">
        <w:rPr>
          <w:rFonts w:ascii="Arial" w:hAnsi="Arial" w:cs="Arial"/>
          <w:color w:val="000000" w:themeColor="text1"/>
        </w:rPr>
        <w:t>rok 2014</w:t>
      </w:r>
      <w:r w:rsidR="00E74F27">
        <w:rPr>
          <w:rFonts w:ascii="Arial" w:hAnsi="Arial" w:cs="Arial"/>
          <w:color w:val="000000" w:themeColor="text1"/>
        </w:rPr>
        <w:t>,</w:t>
      </w:r>
      <w:r w:rsidR="0000424D" w:rsidRPr="00155AB4">
        <w:rPr>
          <w:rFonts w:ascii="Arial" w:hAnsi="Arial" w:cs="Arial"/>
          <w:color w:val="000000" w:themeColor="text1"/>
        </w:rPr>
        <w:t xml:space="preserve"> a 34</w:t>
      </w:r>
      <w:r w:rsidR="00773F91" w:rsidRPr="00155AB4">
        <w:rPr>
          <w:rFonts w:ascii="Arial" w:hAnsi="Arial" w:cs="Arial"/>
          <w:color w:val="000000" w:themeColor="text1"/>
        </w:rPr>
        <w:t xml:space="preserve"> </w:t>
      </w:r>
      <w:r w:rsidR="00395602" w:rsidRPr="00155AB4">
        <w:rPr>
          <w:rFonts w:ascii="Arial" w:hAnsi="Arial" w:cs="Arial"/>
          <w:color w:val="000000" w:themeColor="text1"/>
        </w:rPr>
        <w:t>miliard korun</w:t>
      </w:r>
      <w:r w:rsidR="00773F91" w:rsidRPr="00155AB4">
        <w:rPr>
          <w:rFonts w:ascii="Arial" w:hAnsi="Arial" w:cs="Arial"/>
          <w:color w:val="000000" w:themeColor="text1"/>
        </w:rPr>
        <w:t xml:space="preserve"> </w:t>
      </w:r>
      <w:r w:rsidR="00E74F27">
        <w:rPr>
          <w:rFonts w:ascii="Arial" w:hAnsi="Arial" w:cs="Arial"/>
          <w:color w:val="000000" w:themeColor="text1"/>
        </w:rPr>
        <w:t>na</w:t>
      </w:r>
      <w:r w:rsidR="00E74F27" w:rsidRPr="00155AB4">
        <w:rPr>
          <w:rFonts w:ascii="Arial" w:hAnsi="Arial" w:cs="Arial"/>
          <w:color w:val="000000" w:themeColor="text1"/>
        </w:rPr>
        <w:t xml:space="preserve"> </w:t>
      </w:r>
      <w:r w:rsidR="00773F91" w:rsidRPr="00155AB4">
        <w:rPr>
          <w:rFonts w:ascii="Arial" w:hAnsi="Arial" w:cs="Arial"/>
          <w:color w:val="000000" w:themeColor="text1"/>
        </w:rPr>
        <w:t xml:space="preserve">rok 2015. Pokud bychom soubor modelově upravili tak, aby byly meziroční základny objektivně porovnatelné (tj. odečetli bychom tyto mimořádné zakázky), </w:t>
      </w:r>
      <w:r w:rsidR="007C22B5" w:rsidRPr="00155AB4">
        <w:rPr>
          <w:rFonts w:ascii="Arial" w:hAnsi="Arial" w:cs="Arial"/>
          <w:color w:val="000000" w:themeColor="text1"/>
        </w:rPr>
        <w:t xml:space="preserve">vzrostl by </w:t>
      </w:r>
      <w:r w:rsidR="00773F91" w:rsidRPr="00155AB4">
        <w:rPr>
          <w:rFonts w:ascii="Arial" w:hAnsi="Arial" w:cs="Arial"/>
          <w:color w:val="000000" w:themeColor="text1"/>
        </w:rPr>
        <w:t>objem zadaných ve</w:t>
      </w:r>
      <w:r w:rsidR="0042131A" w:rsidRPr="00155AB4">
        <w:rPr>
          <w:rFonts w:ascii="Arial" w:hAnsi="Arial" w:cs="Arial"/>
          <w:color w:val="000000" w:themeColor="text1"/>
        </w:rPr>
        <w:t xml:space="preserve">řejných zakázek </w:t>
      </w:r>
      <w:r w:rsidRPr="00155AB4">
        <w:rPr>
          <w:rFonts w:ascii="Arial" w:hAnsi="Arial" w:cs="Arial"/>
          <w:color w:val="000000" w:themeColor="text1"/>
        </w:rPr>
        <w:t>za rok 2015 reálně o 0,5</w:t>
      </w:r>
      <w:r w:rsidR="00395602" w:rsidRPr="00155AB4">
        <w:rPr>
          <w:rFonts w:ascii="Arial" w:hAnsi="Arial" w:cs="Arial"/>
          <w:color w:val="000000" w:themeColor="text1"/>
        </w:rPr>
        <w:t xml:space="preserve"> procenta</w:t>
      </w:r>
      <w:r w:rsidR="00922AEB" w:rsidRPr="00155AB4">
        <w:rPr>
          <w:rFonts w:ascii="Arial" w:hAnsi="Arial" w:cs="Arial"/>
          <w:color w:val="000000" w:themeColor="text1"/>
        </w:rPr>
        <w:t xml:space="preserve">. </w:t>
      </w:r>
      <w:r w:rsidR="00922AEB" w:rsidRPr="00155AB4">
        <w:rPr>
          <w:rFonts w:ascii="Arial" w:hAnsi="Arial" w:cs="Arial"/>
        </w:rPr>
        <w:t>Některá zadávací řízení stále běží, a proto lze očekávat, že v dalších měsících dojde ještě k aktualizaci a upřesnění dat.</w:t>
      </w:r>
      <w:r w:rsidR="00207C19">
        <w:rPr>
          <w:rFonts w:ascii="Arial" w:hAnsi="Arial" w:cs="Arial"/>
        </w:rPr>
        <w:t xml:space="preserve"> </w:t>
      </w:r>
      <w:r w:rsidR="00384E4A">
        <w:rPr>
          <w:rFonts w:ascii="Arial" w:hAnsi="Arial" w:cs="Arial"/>
        </w:rPr>
        <w:t>„</w:t>
      </w:r>
      <w:r w:rsidR="00207C19" w:rsidRPr="00384E4A">
        <w:rPr>
          <w:rFonts w:ascii="Arial" w:hAnsi="Arial" w:cs="Arial"/>
          <w:i/>
        </w:rPr>
        <w:t xml:space="preserve">V roce </w:t>
      </w:r>
      <w:r w:rsidR="008A6395">
        <w:rPr>
          <w:rFonts w:ascii="Arial" w:hAnsi="Arial" w:cs="Arial"/>
          <w:i/>
        </w:rPr>
        <w:t>2015 zaznamenáváme</w:t>
      </w:r>
      <w:r w:rsidR="008A6395" w:rsidRPr="00384E4A">
        <w:rPr>
          <w:rFonts w:ascii="Arial" w:hAnsi="Arial" w:cs="Arial"/>
          <w:i/>
        </w:rPr>
        <w:t xml:space="preserve"> </w:t>
      </w:r>
      <w:r w:rsidR="00207C19" w:rsidRPr="00384E4A">
        <w:rPr>
          <w:rFonts w:ascii="Arial" w:hAnsi="Arial" w:cs="Arial"/>
          <w:i/>
        </w:rPr>
        <w:t xml:space="preserve">nárůst v objemu zadaných veřejných stavebních zakázek, souvisejících zejména s rekonstrukcí budov a jejich zateplením. Velkou roli zde hrají dotační programy, které jsou zajímavé pro menší subjekty, jako jsou obce a města. Zde se jedná zejména o stavební </w:t>
      </w:r>
      <w:r w:rsidR="00207C19" w:rsidRPr="00384E4A">
        <w:rPr>
          <w:rFonts w:ascii="Arial" w:hAnsi="Arial" w:cs="Arial"/>
          <w:i/>
        </w:rPr>
        <w:lastRenderedPageBreak/>
        <w:t>zakázky související s rekonstrukcemi vzdělávacích a zdravotnických zařízení. Menší subjekty ovšem vypisují výběrová řízení menšího rozsahu</w:t>
      </w:r>
      <w:r w:rsidR="008A6395">
        <w:rPr>
          <w:rFonts w:ascii="Arial" w:hAnsi="Arial" w:cs="Arial"/>
          <w:i/>
        </w:rPr>
        <w:t>,</w:t>
      </w:r>
      <w:r w:rsidR="00207C19" w:rsidRPr="00384E4A">
        <w:rPr>
          <w:rFonts w:ascii="Arial" w:hAnsi="Arial" w:cs="Arial"/>
          <w:i/>
        </w:rPr>
        <w:t xml:space="preserve"> a zaznamenáváme </w:t>
      </w:r>
      <w:bookmarkStart w:id="0" w:name="_GoBack"/>
      <w:r w:rsidR="008A6395" w:rsidRPr="00384E4A">
        <w:rPr>
          <w:rFonts w:ascii="Arial" w:hAnsi="Arial" w:cs="Arial"/>
          <w:i/>
        </w:rPr>
        <w:t xml:space="preserve">tedy </w:t>
      </w:r>
      <w:bookmarkEnd w:id="0"/>
      <w:r w:rsidR="00207C19" w:rsidRPr="00384E4A">
        <w:rPr>
          <w:rFonts w:ascii="Arial" w:hAnsi="Arial" w:cs="Arial"/>
          <w:i/>
        </w:rPr>
        <w:t>pokles na úrovni průměrné ceny zakázek. Otázkou však zůstává, jaká bude konečná cena zakázek po jejich realizaci</w:t>
      </w:r>
      <w:r w:rsidR="00384E4A">
        <w:rPr>
          <w:rFonts w:ascii="Arial" w:hAnsi="Arial" w:cs="Arial"/>
          <w:i/>
        </w:rPr>
        <w:t>,“</w:t>
      </w:r>
      <w:r w:rsidR="00207C19" w:rsidRPr="00207C19">
        <w:rPr>
          <w:rFonts w:ascii="Arial" w:hAnsi="Arial" w:cs="Arial"/>
        </w:rPr>
        <w:t xml:space="preserve"> </w:t>
      </w:r>
      <w:r w:rsidR="00384E4A">
        <w:rPr>
          <w:rFonts w:ascii="Arial" w:hAnsi="Arial" w:cs="Arial"/>
        </w:rPr>
        <w:t>k</w:t>
      </w:r>
      <w:r w:rsidR="00207C19" w:rsidRPr="00207C19">
        <w:rPr>
          <w:rFonts w:ascii="Arial" w:hAnsi="Arial" w:cs="Arial"/>
        </w:rPr>
        <w:t xml:space="preserve">omentuje situaci </w:t>
      </w:r>
      <w:r w:rsidR="00207C19" w:rsidRPr="00384E4A">
        <w:rPr>
          <w:rFonts w:ascii="Arial" w:hAnsi="Arial" w:cs="Arial"/>
          <w:b/>
          <w:i/>
        </w:rPr>
        <w:t>Tomáš Rosák – předseda představenstva Saint-Gobain Construction Products.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oznámení o zadání zakázky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742"/>
        <w:gridCol w:w="1067"/>
        <w:gridCol w:w="1047"/>
        <w:gridCol w:w="1062"/>
        <w:gridCol w:w="1065"/>
        <w:gridCol w:w="1042"/>
        <w:gridCol w:w="1068"/>
      </w:tblGrid>
      <w:tr w:rsidR="00395602" w:rsidRPr="00395602" w:rsidTr="005E1A1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395602" w:rsidRDefault="00AB3A5B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</w:t>
            </w:r>
            <w:r w:rsidR="00395602"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122 206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+266,6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3 461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-7,3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70 841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-29,4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3 634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-30,8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87 453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+53,1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3 896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-26,2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69 752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+15,3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13 629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-17,3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350 252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+39,4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47 761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-60,9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+3,3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57 064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-19,4</w:t>
            </w:r>
          </w:p>
        </w:tc>
      </w:tr>
      <w:tr w:rsidR="00395602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4 542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+25,0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70 358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95602" w:rsidRPr="00395602" w:rsidRDefault="00395602" w:rsidP="003956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-19,5</w:t>
            </w:r>
          </w:p>
        </w:tc>
      </w:tr>
      <w:tr w:rsidR="00A52CDC" w:rsidRPr="00395602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A52CDC" w:rsidRPr="00395602" w:rsidRDefault="00A52CDC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A52CDC" w:rsidRPr="00A52CDC" w:rsidRDefault="00A52CDC" w:rsidP="00A52C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A52CDC" w:rsidRPr="00A52CDC" w:rsidRDefault="00A52CDC" w:rsidP="00A5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3 887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CDC" w:rsidRPr="00A52CDC" w:rsidRDefault="00A52CDC" w:rsidP="00A52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A52CDC" w:rsidRPr="00A52CDC" w:rsidRDefault="00A52CDC" w:rsidP="00A5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-0,2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52CDC" w:rsidRPr="00A52CDC" w:rsidRDefault="00A52CDC" w:rsidP="00A5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85 424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CDC" w:rsidRPr="00A52CDC" w:rsidRDefault="00A52CDC" w:rsidP="00A52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A52CDC" w:rsidRPr="00A52CDC" w:rsidRDefault="00A52CDC" w:rsidP="00A5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+22,5</w:t>
            </w:r>
          </w:p>
        </w:tc>
      </w:tr>
      <w:tr w:rsidR="00A52CDC" w:rsidRPr="007C57A5" w:rsidTr="005E1A1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A52CDC" w:rsidRPr="00395602" w:rsidRDefault="00A52CDC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CDC" w:rsidRPr="00A52CDC" w:rsidRDefault="00A52CDC" w:rsidP="00A52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A52CDC" w:rsidRPr="00A52CDC" w:rsidRDefault="00A52CDC" w:rsidP="00A52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14 828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CDC" w:rsidRPr="00A52CDC" w:rsidRDefault="00A52CDC" w:rsidP="00A52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A52CDC" w:rsidRPr="00A52CDC" w:rsidRDefault="00A52CDC" w:rsidP="00A52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A52CDC" w:rsidRPr="00A52CDC" w:rsidRDefault="00A52CDC" w:rsidP="00A52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260 607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CDC" w:rsidRPr="00A52CDC" w:rsidRDefault="00A52CDC" w:rsidP="00A52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A52CDC" w:rsidRPr="00A52CDC" w:rsidRDefault="00A52CDC" w:rsidP="00A52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A52C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-25,6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0A" w:rsidRDefault="00EE230A" w:rsidP="00A76E50">
      <w:pPr>
        <w:spacing w:after="0" w:line="240" w:lineRule="auto"/>
      </w:pPr>
      <w:r>
        <w:separator/>
      </w:r>
    </w:p>
  </w:endnote>
  <w:endnote w:type="continuationSeparator" w:id="0">
    <w:p w:rsidR="00EE230A" w:rsidRDefault="00EE230A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0A" w:rsidRDefault="00EE230A" w:rsidP="00A76E50">
      <w:pPr>
        <w:spacing w:after="0" w:line="240" w:lineRule="auto"/>
      </w:pPr>
      <w:r>
        <w:separator/>
      </w:r>
    </w:p>
  </w:footnote>
  <w:footnote w:type="continuationSeparator" w:id="0">
    <w:p w:rsidR="00EE230A" w:rsidRDefault="00EE230A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5A3A"/>
    <w:rsid w:val="00016986"/>
    <w:rsid w:val="0002357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53CA"/>
    <w:rsid w:val="00092923"/>
    <w:rsid w:val="00093D49"/>
    <w:rsid w:val="000957C6"/>
    <w:rsid w:val="000A03AB"/>
    <w:rsid w:val="000A0C73"/>
    <w:rsid w:val="000A2E0E"/>
    <w:rsid w:val="000A593D"/>
    <w:rsid w:val="000B0EFB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2333"/>
    <w:rsid w:val="000F4820"/>
    <w:rsid w:val="000F58C9"/>
    <w:rsid w:val="000F5D71"/>
    <w:rsid w:val="001037D9"/>
    <w:rsid w:val="00104FFE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0E32"/>
    <w:rsid w:val="001536EE"/>
    <w:rsid w:val="00155AB4"/>
    <w:rsid w:val="001566B9"/>
    <w:rsid w:val="0016567C"/>
    <w:rsid w:val="00165D79"/>
    <w:rsid w:val="00166DEA"/>
    <w:rsid w:val="00172C66"/>
    <w:rsid w:val="00180560"/>
    <w:rsid w:val="001854A9"/>
    <w:rsid w:val="0018743F"/>
    <w:rsid w:val="00187B1C"/>
    <w:rsid w:val="00196346"/>
    <w:rsid w:val="0019645D"/>
    <w:rsid w:val="001A281A"/>
    <w:rsid w:val="001A5793"/>
    <w:rsid w:val="001A6A6E"/>
    <w:rsid w:val="001B76D5"/>
    <w:rsid w:val="001C6F33"/>
    <w:rsid w:val="001C7E05"/>
    <w:rsid w:val="001D014A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22BC"/>
    <w:rsid w:val="00200D14"/>
    <w:rsid w:val="002021AC"/>
    <w:rsid w:val="00207C19"/>
    <w:rsid w:val="00211533"/>
    <w:rsid w:val="00212725"/>
    <w:rsid w:val="00215C0D"/>
    <w:rsid w:val="00223578"/>
    <w:rsid w:val="002253BD"/>
    <w:rsid w:val="002262A5"/>
    <w:rsid w:val="0023367D"/>
    <w:rsid w:val="00233D6F"/>
    <w:rsid w:val="002353AC"/>
    <w:rsid w:val="00237274"/>
    <w:rsid w:val="00237E98"/>
    <w:rsid w:val="00247E30"/>
    <w:rsid w:val="00253B0D"/>
    <w:rsid w:val="00253FC8"/>
    <w:rsid w:val="002560EF"/>
    <w:rsid w:val="00257FF1"/>
    <w:rsid w:val="002603EC"/>
    <w:rsid w:val="00260DD4"/>
    <w:rsid w:val="0026229F"/>
    <w:rsid w:val="00263565"/>
    <w:rsid w:val="0026597A"/>
    <w:rsid w:val="002678EB"/>
    <w:rsid w:val="00271171"/>
    <w:rsid w:val="00275AD4"/>
    <w:rsid w:val="002818F3"/>
    <w:rsid w:val="00286E6D"/>
    <w:rsid w:val="0029094B"/>
    <w:rsid w:val="0029141A"/>
    <w:rsid w:val="0029157C"/>
    <w:rsid w:val="00291BA0"/>
    <w:rsid w:val="00293553"/>
    <w:rsid w:val="002943A5"/>
    <w:rsid w:val="00294841"/>
    <w:rsid w:val="002A05C0"/>
    <w:rsid w:val="002A0D8C"/>
    <w:rsid w:val="002A2466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D00D5"/>
    <w:rsid w:val="002D1105"/>
    <w:rsid w:val="002D1D8C"/>
    <w:rsid w:val="002E1B68"/>
    <w:rsid w:val="002E1CCD"/>
    <w:rsid w:val="002E6321"/>
    <w:rsid w:val="002F3CFF"/>
    <w:rsid w:val="002F4916"/>
    <w:rsid w:val="002F5151"/>
    <w:rsid w:val="002F5850"/>
    <w:rsid w:val="002F7E3F"/>
    <w:rsid w:val="003008A7"/>
    <w:rsid w:val="003014FD"/>
    <w:rsid w:val="003016AD"/>
    <w:rsid w:val="00311898"/>
    <w:rsid w:val="00311BF9"/>
    <w:rsid w:val="00313EB0"/>
    <w:rsid w:val="00315AA1"/>
    <w:rsid w:val="00317CBD"/>
    <w:rsid w:val="00320FF8"/>
    <w:rsid w:val="00324863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47F5"/>
    <w:rsid w:val="003756AA"/>
    <w:rsid w:val="00376974"/>
    <w:rsid w:val="00376E15"/>
    <w:rsid w:val="00383358"/>
    <w:rsid w:val="00384E4A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3BC4"/>
    <w:rsid w:val="003C5FC8"/>
    <w:rsid w:val="003C795B"/>
    <w:rsid w:val="003D47EA"/>
    <w:rsid w:val="003D48F8"/>
    <w:rsid w:val="003D630D"/>
    <w:rsid w:val="003E2337"/>
    <w:rsid w:val="003E3DE2"/>
    <w:rsid w:val="003E3F4A"/>
    <w:rsid w:val="003E40D1"/>
    <w:rsid w:val="003E77A1"/>
    <w:rsid w:val="003F1964"/>
    <w:rsid w:val="003F203A"/>
    <w:rsid w:val="00402D9F"/>
    <w:rsid w:val="0041515B"/>
    <w:rsid w:val="0042131A"/>
    <w:rsid w:val="00426A92"/>
    <w:rsid w:val="004316C7"/>
    <w:rsid w:val="00433364"/>
    <w:rsid w:val="0043543D"/>
    <w:rsid w:val="00436192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61FD"/>
    <w:rsid w:val="00487C9B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E20ED"/>
    <w:rsid w:val="004E474E"/>
    <w:rsid w:val="004F1468"/>
    <w:rsid w:val="004F3347"/>
    <w:rsid w:val="004F4146"/>
    <w:rsid w:val="004F5B25"/>
    <w:rsid w:val="004F5B5A"/>
    <w:rsid w:val="00504492"/>
    <w:rsid w:val="005065B9"/>
    <w:rsid w:val="005073A6"/>
    <w:rsid w:val="0051183B"/>
    <w:rsid w:val="00511B85"/>
    <w:rsid w:val="00511F95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2CAD"/>
    <w:rsid w:val="00565634"/>
    <w:rsid w:val="005677BC"/>
    <w:rsid w:val="0057102C"/>
    <w:rsid w:val="0057145D"/>
    <w:rsid w:val="0057268D"/>
    <w:rsid w:val="005733C7"/>
    <w:rsid w:val="005826BC"/>
    <w:rsid w:val="00584A1E"/>
    <w:rsid w:val="0058771B"/>
    <w:rsid w:val="005912D0"/>
    <w:rsid w:val="005912F8"/>
    <w:rsid w:val="005A262C"/>
    <w:rsid w:val="005A2DC8"/>
    <w:rsid w:val="005A3E10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38A3"/>
    <w:rsid w:val="00643A99"/>
    <w:rsid w:val="006527AC"/>
    <w:rsid w:val="00655C78"/>
    <w:rsid w:val="0065684B"/>
    <w:rsid w:val="00656C38"/>
    <w:rsid w:val="00657E0A"/>
    <w:rsid w:val="0066111C"/>
    <w:rsid w:val="00661312"/>
    <w:rsid w:val="00665412"/>
    <w:rsid w:val="00665B5E"/>
    <w:rsid w:val="00666391"/>
    <w:rsid w:val="006702E4"/>
    <w:rsid w:val="006718DD"/>
    <w:rsid w:val="006724BA"/>
    <w:rsid w:val="00672B58"/>
    <w:rsid w:val="00672B96"/>
    <w:rsid w:val="00672BB7"/>
    <w:rsid w:val="00673835"/>
    <w:rsid w:val="00673C62"/>
    <w:rsid w:val="006744DE"/>
    <w:rsid w:val="00677213"/>
    <w:rsid w:val="006801BB"/>
    <w:rsid w:val="00682EB2"/>
    <w:rsid w:val="00684B67"/>
    <w:rsid w:val="006914DB"/>
    <w:rsid w:val="00693299"/>
    <w:rsid w:val="0069393F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C5597"/>
    <w:rsid w:val="006C735B"/>
    <w:rsid w:val="006C7464"/>
    <w:rsid w:val="006D2CD0"/>
    <w:rsid w:val="006E09D3"/>
    <w:rsid w:val="006E20F2"/>
    <w:rsid w:val="006E35A2"/>
    <w:rsid w:val="006E4E8A"/>
    <w:rsid w:val="006F0F71"/>
    <w:rsid w:val="006F29EF"/>
    <w:rsid w:val="006F2C05"/>
    <w:rsid w:val="006F5538"/>
    <w:rsid w:val="00702F1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4EF7"/>
    <w:rsid w:val="0072505A"/>
    <w:rsid w:val="0072523F"/>
    <w:rsid w:val="00725A3E"/>
    <w:rsid w:val="007262F3"/>
    <w:rsid w:val="007265CC"/>
    <w:rsid w:val="00730372"/>
    <w:rsid w:val="00733E20"/>
    <w:rsid w:val="00737158"/>
    <w:rsid w:val="00737E6F"/>
    <w:rsid w:val="0074021E"/>
    <w:rsid w:val="00741C6E"/>
    <w:rsid w:val="007430B7"/>
    <w:rsid w:val="00744A97"/>
    <w:rsid w:val="00751610"/>
    <w:rsid w:val="00752F10"/>
    <w:rsid w:val="007547AB"/>
    <w:rsid w:val="00756A20"/>
    <w:rsid w:val="00757E18"/>
    <w:rsid w:val="007603AB"/>
    <w:rsid w:val="00760BCE"/>
    <w:rsid w:val="0076181F"/>
    <w:rsid w:val="00763269"/>
    <w:rsid w:val="0076588A"/>
    <w:rsid w:val="00766B88"/>
    <w:rsid w:val="00770276"/>
    <w:rsid w:val="00773F91"/>
    <w:rsid w:val="0077594B"/>
    <w:rsid w:val="0077612F"/>
    <w:rsid w:val="007765E8"/>
    <w:rsid w:val="00777A89"/>
    <w:rsid w:val="00782680"/>
    <w:rsid w:val="00785B22"/>
    <w:rsid w:val="00797377"/>
    <w:rsid w:val="007977DF"/>
    <w:rsid w:val="007A4BC1"/>
    <w:rsid w:val="007A708E"/>
    <w:rsid w:val="007B2BC0"/>
    <w:rsid w:val="007B4F0F"/>
    <w:rsid w:val="007B67E8"/>
    <w:rsid w:val="007C22B5"/>
    <w:rsid w:val="007C55A2"/>
    <w:rsid w:val="007C57A5"/>
    <w:rsid w:val="007C6D41"/>
    <w:rsid w:val="007C7D83"/>
    <w:rsid w:val="007D01D4"/>
    <w:rsid w:val="007D51D0"/>
    <w:rsid w:val="007D73AB"/>
    <w:rsid w:val="007E2491"/>
    <w:rsid w:val="007E36FA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78D0"/>
    <w:rsid w:val="00890743"/>
    <w:rsid w:val="00892496"/>
    <w:rsid w:val="00892803"/>
    <w:rsid w:val="008A1918"/>
    <w:rsid w:val="008A2D79"/>
    <w:rsid w:val="008A2FAF"/>
    <w:rsid w:val="008A2FB6"/>
    <w:rsid w:val="008A6395"/>
    <w:rsid w:val="008B1388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414B"/>
    <w:rsid w:val="008E1F3C"/>
    <w:rsid w:val="008E3D58"/>
    <w:rsid w:val="008E4090"/>
    <w:rsid w:val="008E51E4"/>
    <w:rsid w:val="008E70F3"/>
    <w:rsid w:val="008F20F7"/>
    <w:rsid w:val="008F3AEB"/>
    <w:rsid w:val="008F4D01"/>
    <w:rsid w:val="00902A00"/>
    <w:rsid w:val="00906B01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40D4B"/>
    <w:rsid w:val="00941616"/>
    <w:rsid w:val="00942613"/>
    <w:rsid w:val="00942706"/>
    <w:rsid w:val="009443F0"/>
    <w:rsid w:val="009452AD"/>
    <w:rsid w:val="0095004C"/>
    <w:rsid w:val="00951160"/>
    <w:rsid w:val="009522FC"/>
    <w:rsid w:val="009547D0"/>
    <w:rsid w:val="00955701"/>
    <w:rsid w:val="009564A3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80D"/>
    <w:rsid w:val="00985F9A"/>
    <w:rsid w:val="00987D32"/>
    <w:rsid w:val="00990B27"/>
    <w:rsid w:val="00992BC3"/>
    <w:rsid w:val="009A1D73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FA2"/>
    <w:rsid w:val="009E72B1"/>
    <w:rsid w:val="009F1B43"/>
    <w:rsid w:val="009F318A"/>
    <w:rsid w:val="009F5081"/>
    <w:rsid w:val="00A001E9"/>
    <w:rsid w:val="00A057BE"/>
    <w:rsid w:val="00A10099"/>
    <w:rsid w:val="00A12BF5"/>
    <w:rsid w:val="00A1304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82C"/>
    <w:rsid w:val="00A45442"/>
    <w:rsid w:val="00A52CDC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4542"/>
    <w:rsid w:val="00AA1387"/>
    <w:rsid w:val="00AA5AD2"/>
    <w:rsid w:val="00AA5E74"/>
    <w:rsid w:val="00AA73AF"/>
    <w:rsid w:val="00AB2DE8"/>
    <w:rsid w:val="00AB3A5B"/>
    <w:rsid w:val="00AB4B89"/>
    <w:rsid w:val="00AC0303"/>
    <w:rsid w:val="00AC22A3"/>
    <w:rsid w:val="00AC2395"/>
    <w:rsid w:val="00AC2D6D"/>
    <w:rsid w:val="00AC339F"/>
    <w:rsid w:val="00AC5F68"/>
    <w:rsid w:val="00AC6AD5"/>
    <w:rsid w:val="00AC77CF"/>
    <w:rsid w:val="00AD0157"/>
    <w:rsid w:val="00AD247B"/>
    <w:rsid w:val="00AD4919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B04CD0"/>
    <w:rsid w:val="00B05FEC"/>
    <w:rsid w:val="00B12D93"/>
    <w:rsid w:val="00B12E8C"/>
    <w:rsid w:val="00B172EC"/>
    <w:rsid w:val="00B219DE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31CE"/>
    <w:rsid w:val="00B46243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87C83"/>
    <w:rsid w:val="00B87D38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C7F46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F0311"/>
    <w:rsid w:val="00BF14DC"/>
    <w:rsid w:val="00C0021E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6CD"/>
    <w:rsid w:val="00D01988"/>
    <w:rsid w:val="00D1081C"/>
    <w:rsid w:val="00D1155A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76F8"/>
    <w:rsid w:val="00D46F1D"/>
    <w:rsid w:val="00D50A6E"/>
    <w:rsid w:val="00D52AE5"/>
    <w:rsid w:val="00D601E1"/>
    <w:rsid w:val="00D609D4"/>
    <w:rsid w:val="00D611DB"/>
    <w:rsid w:val="00D61585"/>
    <w:rsid w:val="00D62041"/>
    <w:rsid w:val="00D64833"/>
    <w:rsid w:val="00D6525A"/>
    <w:rsid w:val="00D6587A"/>
    <w:rsid w:val="00D66843"/>
    <w:rsid w:val="00D74B72"/>
    <w:rsid w:val="00D81054"/>
    <w:rsid w:val="00D82AEE"/>
    <w:rsid w:val="00D8590C"/>
    <w:rsid w:val="00D8719A"/>
    <w:rsid w:val="00D87C81"/>
    <w:rsid w:val="00D91433"/>
    <w:rsid w:val="00D948F5"/>
    <w:rsid w:val="00DB07A6"/>
    <w:rsid w:val="00DB21E5"/>
    <w:rsid w:val="00DB34B3"/>
    <w:rsid w:val="00DB5326"/>
    <w:rsid w:val="00DC4B47"/>
    <w:rsid w:val="00DC6643"/>
    <w:rsid w:val="00DD367E"/>
    <w:rsid w:val="00DE2083"/>
    <w:rsid w:val="00DE2E6A"/>
    <w:rsid w:val="00DE5DFF"/>
    <w:rsid w:val="00DE6045"/>
    <w:rsid w:val="00DE6B4C"/>
    <w:rsid w:val="00DF10AB"/>
    <w:rsid w:val="00E018DE"/>
    <w:rsid w:val="00E03916"/>
    <w:rsid w:val="00E10585"/>
    <w:rsid w:val="00E12712"/>
    <w:rsid w:val="00E128C6"/>
    <w:rsid w:val="00E15271"/>
    <w:rsid w:val="00E1528D"/>
    <w:rsid w:val="00E15E35"/>
    <w:rsid w:val="00E17213"/>
    <w:rsid w:val="00E17F40"/>
    <w:rsid w:val="00E2179C"/>
    <w:rsid w:val="00E22B32"/>
    <w:rsid w:val="00E24F1D"/>
    <w:rsid w:val="00E250FF"/>
    <w:rsid w:val="00E25CA4"/>
    <w:rsid w:val="00E27F64"/>
    <w:rsid w:val="00E32B62"/>
    <w:rsid w:val="00E35919"/>
    <w:rsid w:val="00E367CE"/>
    <w:rsid w:val="00E43A88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74F27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F2E"/>
    <w:rsid w:val="00EA4F78"/>
    <w:rsid w:val="00EB37E6"/>
    <w:rsid w:val="00EB6829"/>
    <w:rsid w:val="00EB6ACF"/>
    <w:rsid w:val="00EC008B"/>
    <w:rsid w:val="00EC17F7"/>
    <w:rsid w:val="00EC548D"/>
    <w:rsid w:val="00EC5FD4"/>
    <w:rsid w:val="00EC5FE5"/>
    <w:rsid w:val="00EC6620"/>
    <w:rsid w:val="00EC72CC"/>
    <w:rsid w:val="00ED1DF8"/>
    <w:rsid w:val="00ED749E"/>
    <w:rsid w:val="00ED76BA"/>
    <w:rsid w:val="00EE0F00"/>
    <w:rsid w:val="00EE230A"/>
    <w:rsid w:val="00EF0B88"/>
    <w:rsid w:val="00EF25C5"/>
    <w:rsid w:val="00EF37DB"/>
    <w:rsid w:val="00EF6BE0"/>
    <w:rsid w:val="00EF7BB3"/>
    <w:rsid w:val="00F01CB3"/>
    <w:rsid w:val="00F15EB5"/>
    <w:rsid w:val="00F17FD0"/>
    <w:rsid w:val="00F20E32"/>
    <w:rsid w:val="00F21FD4"/>
    <w:rsid w:val="00F24528"/>
    <w:rsid w:val="00F301FC"/>
    <w:rsid w:val="00F3132D"/>
    <w:rsid w:val="00F313A6"/>
    <w:rsid w:val="00F34A68"/>
    <w:rsid w:val="00F36129"/>
    <w:rsid w:val="00F407AA"/>
    <w:rsid w:val="00F442EB"/>
    <w:rsid w:val="00F45D66"/>
    <w:rsid w:val="00F5151A"/>
    <w:rsid w:val="00F5346D"/>
    <w:rsid w:val="00F546D9"/>
    <w:rsid w:val="00F615CB"/>
    <w:rsid w:val="00F6617A"/>
    <w:rsid w:val="00F72E94"/>
    <w:rsid w:val="00F740B9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D5FF9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12D0B-7997-49BC-8756-6919365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5807-7DA7-4D18-AF8D-BBC15C6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3</cp:revision>
  <dcterms:created xsi:type="dcterms:W3CDTF">2016-02-04T17:47:00Z</dcterms:created>
  <dcterms:modified xsi:type="dcterms:W3CDTF">2016-02-04T19:05:00Z</dcterms:modified>
</cp:coreProperties>
</file>