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186AD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O</w:t>
      </w:r>
      <w:r w:rsidR="00104140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bjem vypsaných stavebních zakázek klesl na </w:t>
      </w:r>
      <w:r w:rsidR="009A2231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rekordní </w:t>
      </w:r>
      <w:r w:rsidR="00104140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pětileté minimum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3763B5">
        <w:rPr>
          <w:rFonts w:ascii="Arial" w:eastAsia="SimSun" w:hAnsi="Arial" w:cs="Arial"/>
          <w:b/>
          <w:color w:val="000000" w:themeColor="text1"/>
          <w:kern w:val="1"/>
        </w:rPr>
        <w:t xml:space="preserve"> 27</w:t>
      </w:r>
      <w:r w:rsidR="00122E6D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00424D" w:rsidRPr="003C69F9">
        <w:rPr>
          <w:rFonts w:ascii="Arial" w:eastAsia="SimSun" w:hAnsi="Arial" w:cs="Arial"/>
          <w:b/>
          <w:color w:val="000000" w:themeColor="text1"/>
          <w:kern w:val="1"/>
        </w:rPr>
        <w:t>ledna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9A2231">
        <w:rPr>
          <w:rFonts w:ascii="Arial" w:eastAsia="SimSun" w:hAnsi="Arial" w:cs="Arial"/>
          <w:b/>
          <w:color w:val="000000" w:themeColor="text1"/>
          <w:kern w:val="1"/>
        </w:rPr>
        <w:t xml:space="preserve"> Za uplynulý rok 2015 vypsali veřejní investoři </w:t>
      </w:r>
      <w:r w:rsidR="006B6B49">
        <w:rPr>
          <w:rFonts w:ascii="Arial" w:eastAsia="SimSun" w:hAnsi="Arial" w:cs="Arial"/>
          <w:b/>
          <w:color w:val="000000" w:themeColor="text1"/>
          <w:kern w:val="1"/>
        </w:rPr>
        <w:t>dohromady</w:t>
      </w:r>
      <w:r w:rsidR="009A2231">
        <w:rPr>
          <w:rFonts w:ascii="Arial" w:eastAsia="SimSun" w:hAnsi="Arial" w:cs="Arial"/>
          <w:b/>
          <w:color w:val="000000" w:themeColor="text1"/>
          <w:kern w:val="1"/>
        </w:rPr>
        <w:t xml:space="preserve"> 2939 výběrových řízení</w:t>
      </w:r>
      <w:r w:rsidR="006B6B49">
        <w:rPr>
          <w:rFonts w:ascii="Arial" w:eastAsia="SimSun" w:hAnsi="Arial" w:cs="Arial"/>
          <w:b/>
          <w:color w:val="000000" w:themeColor="text1"/>
          <w:kern w:val="1"/>
        </w:rPr>
        <w:t xml:space="preserve"> na stavební práce</w:t>
      </w:r>
      <w:r w:rsidR="009A2231">
        <w:rPr>
          <w:rFonts w:ascii="Arial" w:eastAsia="SimSun" w:hAnsi="Arial" w:cs="Arial"/>
          <w:b/>
          <w:color w:val="000000" w:themeColor="text1"/>
          <w:kern w:val="1"/>
        </w:rPr>
        <w:t xml:space="preserve"> v hodnotě </w:t>
      </w:r>
      <w:r w:rsidR="006B6B49">
        <w:rPr>
          <w:rFonts w:ascii="Arial" w:eastAsia="SimSun" w:hAnsi="Arial" w:cs="Arial"/>
          <w:b/>
          <w:color w:val="000000" w:themeColor="text1"/>
          <w:kern w:val="1"/>
        </w:rPr>
        <w:t xml:space="preserve">95 miliard korun. Celkový roční objem </w:t>
      </w:r>
      <w:r w:rsidR="00105B57">
        <w:rPr>
          <w:rFonts w:ascii="Arial" w:eastAsia="SimSun" w:hAnsi="Arial" w:cs="Arial"/>
          <w:b/>
          <w:color w:val="000000" w:themeColor="text1"/>
          <w:kern w:val="1"/>
        </w:rPr>
        <w:t xml:space="preserve">oznámených </w:t>
      </w:r>
      <w:r w:rsidR="006B6B49">
        <w:rPr>
          <w:rFonts w:ascii="Arial" w:eastAsia="SimSun" w:hAnsi="Arial" w:cs="Arial"/>
          <w:b/>
          <w:color w:val="000000" w:themeColor="text1"/>
          <w:kern w:val="1"/>
        </w:rPr>
        <w:t>stavebních zakázek tak klesl na rekordní pětileté minimum.</w:t>
      </w:r>
      <w:r w:rsidR="00830DC4">
        <w:rPr>
          <w:rFonts w:ascii="Arial" w:eastAsia="SimSun" w:hAnsi="Arial" w:cs="Arial"/>
          <w:b/>
          <w:color w:val="000000" w:themeColor="text1"/>
          <w:kern w:val="1"/>
        </w:rPr>
        <w:t xml:space="preserve"> Aktivita veřejných investorů </w:t>
      </w:r>
      <w:r w:rsidR="00186AD2">
        <w:rPr>
          <w:rFonts w:ascii="Arial" w:eastAsia="SimSun" w:hAnsi="Arial" w:cs="Arial"/>
          <w:b/>
          <w:color w:val="000000" w:themeColor="text1"/>
          <w:kern w:val="1"/>
        </w:rPr>
        <w:t>při</w:t>
      </w:r>
      <w:r w:rsidR="00830DC4">
        <w:rPr>
          <w:rFonts w:ascii="Arial" w:eastAsia="SimSun" w:hAnsi="Arial" w:cs="Arial"/>
          <w:b/>
          <w:color w:val="000000" w:themeColor="text1"/>
          <w:kern w:val="1"/>
        </w:rPr>
        <w:t> ukončování výběrových řízení byla naopak téměř na stejné úrovni jako v roce 2014.</w:t>
      </w:r>
      <w:r w:rsidR="006B6B4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105B57">
        <w:rPr>
          <w:rFonts w:ascii="Arial" w:eastAsia="SimSun" w:hAnsi="Arial" w:cs="Arial"/>
          <w:b/>
          <w:color w:val="000000" w:themeColor="text1"/>
          <w:kern w:val="1"/>
        </w:rPr>
        <w:t>na konci prosince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>2015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73643" w:rsidRDefault="00B3407B" w:rsidP="001154A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roce</w:t>
      </w:r>
      <w:r w:rsidR="000B1956" w:rsidRPr="003C69F9">
        <w:rPr>
          <w:rFonts w:ascii="Arial" w:hAnsi="Arial" w:cs="Arial"/>
          <w:color w:val="000000" w:themeColor="text1"/>
        </w:rPr>
        <w:t xml:space="preserve"> </w:t>
      </w:r>
      <w:r w:rsidR="00AD49A6">
        <w:rPr>
          <w:rFonts w:ascii="Arial" w:hAnsi="Arial" w:cs="Arial"/>
          <w:color w:val="000000" w:themeColor="text1"/>
        </w:rPr>
        <w:t xml:space="preserve">2015 </w:t>
      </w:r>
      <w:r w:rsidR="000B1956" w:rsidRPr="003C69F9">
        <w:rPr>
          <w:rFonts w:ascii="Arial" w:hAnsi="Arial" w:cs="Arial"/>
          <w:color w:val="000000" w:themeColor="text1"/>
        </w:rPr>
        <w:t xml:space="preserve">se ve </w:t>
      </w:r>
      <w:r w:rsidR="000B1956" w:rsidRPr="003C69F9">
        <w:rPr>
          <w:rFonts w:ascii="Arial" w:hAnsi="Arial" w:cs="Arial"/>
        </w:rPr>
        <w:t>Věstníku veřejných zakázek objevilo</w:t>
      </w:r>
      <w:r w:rsidR="00AD49A6">
        <w:rPr>
          <w:rFonts w:ascii="Arial" w:hAnsi="Arial" w:cs="Arial"/>
        </w:rPr>
        <w:t xml:space="preserve"> dohromady 2939</w:t>
      </w:r>
      <w:r w:rsidR="000B1956" w:rsidRPr="003C69F9">
        <w:rPr>
          <w:rFonts w:ascii="Arial" w:hAnsi="Arial" w:cs="Arial"/>
        </w:rPr>
        <w:t xml:space="preserve"> soutěží</w:t>
      </w:r>
      <w:r w:rsidR="00AD49A6">
        <w:rPr>
          <w:rFonts w:ascii="Arial" w:hAnsi="Arial" w:cs="Arial"/>
        </w:rPr>
        <w:t xml:space="preserve"> v celkové hodnotě 95 miliard korun. </w:t>
      </w:r>
      <w:r w:rsidR="009A2231">
        <w:rPr>
          <w:rFonts w:ascii="Arial" w:hAnsi="Arial" w:cs="Arial"/>
        </w:rPr>
        <w:t xml:space="preserve">Tím, že objem vypsaných zakázek nakonec nepřekročil hranici 100 miliard korun, </w:t>
      </w:r>
      <w:r w:rsidR="00186AD2">
        <w:rPr>
          <w:rFonts w:ascii="Arial" w:hAnsi="Arial" w:cs="Arial"/>
        </w:rPr>
        <w:t xml:space="preserve">bylo </w:t>
      </w:r>
      <w:r w:rsidR="009A2231">
        <w:rPr>
          <w:rFonts w:ascii="Arial" w:hAnsi="Arial" w:cs="Arial"/>
        </w:rPr>
        <w:t>vytvoř</w:t>
      </w:r>
      <w:r w:rsidR="00186AD2">
        <w:rPr>
          <w:rFonts w:ascii="Arial" w:hAnsi="Arial" w:cs="Arial"/>
        </w:rPr>
        <w:t>eno</w:t>
      </w:r>
      <w:r w:rsidR="009A2231">
        <w:rPr>
          <w:rFonts w:ascii="Arial" w:hAnsi="Arial" w:cs="Arial"/>
        </w:rPr>
        <w:t xml:space="preserve"> rekordní pětileté minimum (rozmezí </w:t>
      </w:r>
      <w:r>
        <w:rPr>
          <w:rFonts w:ascii="Arial" w:hAnsi="Arial" w:cs="Arial"/>
        </w:rPr>
        <w:t xml:space="preserve">sledovaných </w:t>
      </w:r>
      <w:r w:rsidR="009A2231">
        <w:rPr>
          <w:rFonts w:ascii="Arial" w:hAnsi="Arial" w:cs="Arial"/>
        </w:rPr>
        <w:t xml:space="preserve">let 2011 až 2015). </w:t>
      </w:r>
      <w:r w:rsidR="003763B5">
        <w:rPr>
          <w:rFonts w:ascii="Arial" w:hAnsi="Arial" w:cs="Arial"/>
        </w:rPr>
        <w:t>„</w:t>
      </w:r>
      <w:r w:rsidR="007E1779">
        <w:rPr>
          <w:rFonts w:ascii="Arial" w:hAnsi="Arial" w:cs="Arial"/>
        </w:rPr>
        <w:t>V meziročním srovnání</w:t>
      </w:r>
      <w:r w:rsidR="009A2231">
        <w:rPr>
          <w:rFonts w:ascii="Arial" w:hAnsi="Arial" w:cs="Arial"/>
        </w:rPr>
        <w:t xml:space="preserve"> </w:t>
      </w:r>
      <w:r w:rsidR="00186AD2">
        <w:rPr>
          <w:rFonts w:ascii="Arial" w:hAnsi="Arial" w:cs="Arial"/>
        </w:rPr>
        <w:t xml:space="preserve">se tak </w:t>
      </w:r>
      <w:r w:rsidR="009A2231">
        <w:rPr>
          <w:rFonts w:ascii="Arial" w:hAnsi="Arial" w:cs="Arial"/>
        </w:rPr>
        <w:t xml:space="preserve">v počtu výběrových řízení i </w:t>
      </w:r>
      <w:r w:rsidR="008151A2">
        <w:rPr>
          <w:rFonts w:ascii="Arial" w:hAnsi="Arial" w:cs="Arial"/>
        </w:rPr>
        <w:t xml:space="preserve">v </w:t>
      </w:r>
      <w:r w:rsidR="009A2231">
        <w:rPr>
          <w:rFonts w:ascii="Arial" w:hAnsi="Arial" w:cs="Arial"/>
        </w:rPr>
        <w:t xml:space="preserve">hodnotě připravených investic </w:t>
      </w:r>
      <w:r w:rsidR="00186AD2">
        <w:rPr>
          <w:rFonts w:ascii="Arial" w:hAnsi="Arial" w:cs="Arial"/>
        </w:rPr>
        <w:t xml:space="preserve">jedná </w:t>
      </w:r>
      <w:r w:rsidR="009A2231">
        <w:rPr>
          <w:rFonts w:ascii="Arial" w:hAnsi="Arial" w:cs="Arial"/>
        </w:rPr>
        <w:t>o téměř třetinový pokles (32,2 proc</w:t>
      </w:r>
      <w:r w:rsidR="003763B5">
        <w:rPr>
          <w:rFonts w:ascii="Arial" w:hAnsi="Arial" w:cs="Arial"/>
        </w:rPr>
        <w:t xml:space="preserve">enta, respektive 29,3 procenta),“ </w:t>
      </w:r>
      <w:r w:rsidR="00186AD2">
        <w:rPr>
          <w:rFonts w:ascii="Arial" w:hAnsi="Arial" w:cs="Arial"/>
        </w:rPr>
        <w:t xml:space="preserve">komentuje výsledky </w:t>
      </w:r>
      <w:r w:rsidR="003763B5" w:rsidRPr="003763B5">
        <w:rPr>
          <w:rFonts w:ascii="Arial" w:hAnsi="Arial" w:cs="Arial"/>
          <w:b/>
          <w:i/>
        </w:rPr>
        <w:t>Jiří Vacek, ředitel analytické společnosti CEEC Research</w:t>
      </w:r>
      <w:r w:rsidR="003763B5">
        <w:rPr>
          <w:rFonts w:ascii="Arial" w:hAnsi="Arial" w:cs="Arial"/>
        </w:rPr>
        <w:t xml:space="preserve">. </w:t>
      </w:r>
      <w:r w:rsidR="003763B5" w:rsidRPr="003763B5">
        <w:rPr>
          <w:rFonts w:ascii="Arial" w:hAnsi="Arial" w:cs="Arial"/>
          <w:i/>
        </w:rPr>
        <w:t>„</w:t>
      </w:r>
      <w:r w:rsidR="001154AC" w:rsidRPr="003763B5">
        <w:rPr>
          <w:rFonts w:ascii="Arial" w:hAnsi="Arial" w:cs="Arial"/>
          <w:i/>
        </w:rPr>
        <w:t>Údaje CEEC v podstatě potvrzují náš dlouhodobý názor. Novináři opakovaně publikují informace o rů</w:t>
      </w:r>
      <w:r w:rsidR="003763B5" w:rsidRPr="003763B5">
        <w:rPr>
          <w:rFonts w:ascii="Arial" w:hAnsi="Arial" w:cs="Arial"/>
          <w:i/>
        </w:rPr>
        <w:t xml:space="preserve">stu stavebnictví a </w:t>
      </w:r>
      <w:r w:rsidR="00186AD2">
        <w:rPr>
          <w:rFonts w:ascii="Arial" w:hAnsi="Arial" w:cs="Arial"/>
          <w:i/>
        </w:rPr>
        <w:t xml:space="preserve">o </w:t>
      </w:r>
      <w:r w:rsidR="003763B5" w:rsidRPr="003763B5">
        <w:rPr>
          <w:rFonts w:ascii="Arial" w:hAnsi="Arial" w:cs="Arial"/>
          <w:i/>
        </w:rPr>
        <w:t>dobrých vyhlídká</w:t>
      </w:r>
      <w:r w:rsidR="001154AC" w:rsidRPr="003763B5">
        <w:rPr>
          <w:rFonts w:ascii="Arial" w:hAnsi="Arial" w:cs="Arial"/>
          <w:i/>
        </w:rPr>
        <w:t xml:space="preserve">ch. </w:t>
      </w:r>
      <w:r w:rsidR="003763B5" w:rsidRPr="003763B5">
        <w:rPr>
          <w:rFonts w:ascii="Arial" w:hAnsi="Arial" w:cs="Arial"/>
          <w:i/>
        </w:rPr>
        <w:t>Bohuž</w:t>
      </w:r>
      <w:r w:rsidR="001154AC" w:rsidRPr="003763B5">
        <w:rPr>
          <w:rFonts w:ascii="Arial" w:hAnsi="Arial" w:cs="Arial"/>
          <w:i/>
        </w:rPr>
        <w:t>el</w:t>
      </w:r>
      <w:r w:rsidR="00186AD2">
        <w:rPr>
          <w:rFonts w:ascii="Arial" w:hAnsi="Arial" w:cs="Arial"/>
          <w:i/>
        </w:rPr>
        <w:t>,</w:t>
      </w:r>
      <w:r w:rsidR="001154AC" w:rsidRPr="003763B5">
        <w:rPr>
          <w:rFonts w:ascii="Arial" w:hAnsi="Arial" w:cs="Arial"/>
          <w:i/>
        </w:rPr>
        <w:t xml:space="preserve"> </w:t>
      </w:r>
      <w:r w:rsidR="00186AD2">
        <w:rPr>
          <w:rFonts w:ascii="Arial" w:hAnsi="Arial" w:cs="Arial"/>
          <w:i/>
        </w:rPr>
        <w:t>s výjimkou</w:t>
      </w:r>
      <w:r w:rsidR="00186AD2" w:rsidRPr="003763B5">
        <w:rPr>
          <w:rFonts w:ascii="Arial" w:hAnsi="Arial" w:cs="Arial"/>
          <w:i/>
        </w:rPr>
        <w:t xml:space="preserve"> </w:t>
      </w:r>
      <w:r w:rsidR="001154AC" w:rsidRPr="003763B5">
        <w:rPr>
          <w:rFonts w:ascii="Arial" w:hAnsi="Arial" w:cs="Arial"/>
          <w:i/>
        </w:rPr>
        <w:t>několika málo specifických stavebních oborů (jako jsou např</w:t>
      </w:r>
      <w:r w:rsidR="0009687A">
        <w:rPr>
          <w:rFonts w:ascii="Arial" w:hAnsi="Arial" w:cs="Arial"/>
          <w:i/>
        </w:rPr>
        <w:t>íklad</w:t>
      </w:r>
      <w:r w:rsidR="001154AC" w:rsidRPr="003763B5">
        <w:rPr>
          <w:rFonts w:ascii="Arial" w:hAnsi="Arial" w:cs="Arial"/>
          <w:i/>
        </w:rPr>
        <w:t xml:space="preserve"> železniční stavby) se tyto informace nezakládají na realitě. A v tomto kontextu bych r</w:t>
      </w:r>
      <w:r w:rsidR="00186AD2">
        <w:rPr>
          <w:rFonts w:ascii="Arial" w:hAnsi="Arial" w:cs="Arial"/>
          <w:i/>
        </w:rPr>
        <w:t>á</w:t>
      </w:r>
      <w:r w:rsidR="001154AC" w:rsidRPr="003763B5">
        <w:rPr>
          <w:rFonts w:ascii="Arial" w:hAnsi="Arial" w:cs="Arial"/>
          <w:i/>
        </w:rPr>
        <w:t>d důrazně požádal naš</w:t>
      </w:r>
      <w:r w:rsidR="00186AD2">
        <w:rPr>
          <w:rFonts w:ascii="Arial" w:hAnsi="Arial" w:cs="Arial"/>
          <w:i/>
        </w:rPr>
        <w:t>i</w:t>
      </w:r>
      <w:r w:rsidR="001154AC" w:rsidRPr="003763B5">
        <w:rPr>
          <w:rFonts w:ascii="Arial" w:hAnsi="Arial" w:cs="Arial"/>
          <w:i/>
        </w:rPr>
        <w:t xml:space="preserve"> politickou reprezentaci, aby rozhodně zabránila jakékoli</w:t>
      </w:r>
      <w:r w:rsidR="00186AD2">
        <w:rPr>
          <w:rFonts w:ascii="Arial" w:hAnsi="Arial" w:cs="Arial"/>
          <w:i/>
        </w:rPr>
        <w:t>v</w:t>
      </w:r>
      <w:r w:rsidR="001154AC" w:rsidRPr="003763B5">
        <w:rPr>
          <w:rFonts w:ascii="Arial" w:hAnsi="Arial" w:cs="Arial"/>
          <w:i/>
        </w:rPr>
        <w:t xml:space="preserve"> možnosti retrospektivn</w:t>
      </w:r>
      <w:r w:rsidR="00186AD2">
        <w:rPr>
          <w:rFonts w:ascii="Arial" w:hAnsi="Arial" w:cs="Arial"/>
          <w:i/>
        </w:rPr>
        <w:t>ího</w:t>
      </w:r>
      <w:r w:rsidR="001154AC" w:rsidRPr="003763B5">
        <w:rPr>
          <w:rFonts w:ascii="Arial" w:hAnsi="Arial" w:cs="Arial"/>
          <w:i/>
        </w:rPr>
        <w:t xml:space="preserve"> zpochybňování ji</w:t>
      </w:r>
      <w:r w:rsidR="00186AD2">
        <w:rPr>
          <w:rFonts w:ascii="Arial" w:hAnsi="Arial" w:cs="Arial"/>
          <w:i/>
        </w:rPr>
        <w:t>ž</w:t>
      </w:r>
      <w:r w:rsidR="001154AC" w:rsidRPr="003763B5">
        <w:rPr>
          <w:rFonts w:ascii="Arial" w:hAnsi="Arial" w:cs="Arial"/>
          <w:i/>
        </w:rPr>
        <w:t xml:space="preserve"> vydaných územních rozhodnut</w:t>
      </w:r>
      <w:r w:rsidR="0009687A">
        <w:rPr>
          <w:rFonts w:ascii="Arial" w:hAnsi="Arial" w:cs="Arial"/>
          <w:i/>
        </w:rPr>
        <w:t>í</w:t>
      </w:r>
      <w:r w:rsidR="001154AC" w:rsidRPr="003763B5">
        <w:rPr>
          <w:rFonts w:ascii="Arial" w:hAnsi="Arial" w:cs="Arial"/>
          <w:i/>
        </w:rPr>
        <w:t xml:space="preserve"> podložených pozitivními EIA stanovisky. </w:t>
      </w:r>
      <w:r w:rsidR="00186AD2">
        <w:rPr>
          <w:rFonts w:ascii="Arial" w:hAnsi="Arial" w:cs="Arial"/>
          <w:i/>
        </w:rPr>
        <w:t>M</w:t>
      </w:r>
      <w:r w:rsidR="001154AC" w:rsidRPr="003763B5">
        <w:rPr>
          <w:rFonts w:ascii="Arial" w:hAnsi="Arial" w:cs="Arial"/>
          <w:i/>
        </w:rPr>
        <w:t xml:space="preserve">ohlo </w:t>
      </w:r>
      <w:r w:rsidR="00186AD2">
        <w:rPr>
          <w:rFonts w:ascii="Arial" w:hAnsi="Arial" w:cs="Arial"/>
          <w:i/>
        </w:rPr>
        <w:t xml:space="preserve">by to </w:t>
      </w:r>
      <w:r w:rsidR="001154AC" w:rsidRPr="003763B5">
        <w:rPr>
          <w:rFonts w:ascii="Arial" w:hAnsi="Arial" w:cs="Arial"/>
          <w:i/>
        </w:rPr>
        <w:t xml:space="preserve">přinést další </w:t>
      </w:r>
      <w:r w:rsidR="007E1779">
        <w:rPr>
          <w:rFonts w:ascii="Arial" w:hAnsi="Arial" w:cs="Arial"/>
          <w:i/>
        </w:rPr>
        <w:t xml:space="preserve">podstatné snížení </w:t>
      </w:r>
      <w:r w:rsidR="001154AC" w:rsidRPr="003763B5">
        <w:rPr>
          <w:rFonts w:ascii="Arial" w:hAnsi="Arial" w:cs="Arial"/>
          <w:i/>
        </w:rPr>
        <w:t>objemů zadan</w:t>
      </w:r>
      <w:r w:rsidR="00186AD2">
        <w:rPr>
          <w:rFonts w:ascii="Arial" w:hAnsi="Arial" w:cs="Arial"/>
          <w:i/>
        </w:rPr>
        <w:t>ých</w:t>
      </w:r>
      <w:r w:rsidR="001154AC" w:rsidRPr="003763B5">
        <w:rPr>
          <w:rFonts w:ascii="Arial" w:hAnsi="Arial" w:cs="Arial"/>
          <w:i/>
        </w:rPr>
        <w:t xml:space="preserve"> zakáz</w:t>
      </w:r>
      <w:r w:rsidR="00186AD2">
        <w:rPr>
          <w:rFonts w:ascii="Arial" w:hAnsi="Arial" w:cs="Arial"/>
          <w:i/>
        </w:rPr>
        <w:t>e</w:t>
      </w:r>
      <w:r w:rsidR="001154AC" w:rsidRPr="003763B5">
        <w:rPr>
          <w:rFonts w:ascii="Arial" w:hAnsi="Arial" w:cs="Arial"/>
          <w:i/>
        </w:rPr>
        <w:t xml:space="preserve">k </w:t>
      </w:r>
      <w:r w:rsidR="00186AD2">
        <w:rPr>
          <w:rFonts w:ascii="Arial" w:hAnsi="Arial" w:cs="Arial"/>
          <w:i/>
        </w:rPr>
        <w:t>n</w:t>
      </w:r>
      <w:r w:rsidR="001154AC" w:rsidRPr="003763B5">
        <w:rPr>
          <w:rFonts w:ascii="Arial" w:hAnsi="Arial" w:cs="Arial"/>
          <w:i/>
        </w:rPr>
        <w:t xml:space="preserve">a rok 2016 a </w:t>
      </w:r>
      <w:r w:rsidR="003763B5" w:rsidRPr="003763B5">
        <w:rPr>
          <w:rFonts w:ascii="Arial" w:hAnsi="Arial" w:cs="Arial"/>
          <w:i/>
        </w:rPr>
        <w:t>ohroženi mnoha stavebních firem,</w:t>
      </w:r>
      <w:r w:rsidR="001154AC" w:rsidRPr="003763B5">
        <w:rPr>
          <w:rFonts w:ascii="Arial" w:hAnsi="Arial" w:cs="Arial"/>
          <w:i/>
        </w:rPr>
        <w:t>"</w:t>
      </w:r>
      <w:r w:rsidR="003763B5" w:rsidRPr="003763B5">
        <w:rPr>
          <w:rFonts w:ascii="Arial" w:hAnsi="Arial" w:cs="Arial"/>
          <w:i/>
        </w:rPr>
        <w:t xml:space="preserve"> </w:t>
      </w:r>
      <w:r w:rsidR="0009687A">
        <w:rPr>
          <w:rFonts w:ascii="Arial" w:hAnsi="Arial" w:cs="Arial"/>
        </w:rPr>
        <w:t xml:space="preserve">hodnotí </w:t>
      </w:r>
      <w:r w:rsidR="003763B5">
        <w:rPr>
          <w:rFonts w:ascii="Arial" w:hAnsi="Arial" w:cs="Arial"/>
        </w:rPr>
        <w:t xml:space="preserve">roční </w:t>
      </w:r>
      <w:r w:rsidR="0009687A">
        <w:rPr>
          <w:rFonts w:ascii="Arial" w:hAnsi="Arial" w:cs="Arial"/>
        </w:rPr>
        <w:t xml:space="preserve">objemy veřejných zakázek </w:t>
      </w:r>
      <w:r w:rsidR="003763B5" w:rsidRPr="003763B5">
        <w:rPr>
          <w:rFonts w:ascii="Arial" w:hAnsi="Arial" w:cs="Arial"/>
          <w:b/>
          <w:i/>
        </w:rPr>
        <w:t>Ma</w:t>
      </w:r>
      <w:r w:rsidR="0009687A">
        <w:rPr>
          <w:rFonts w:ascii="Arial" w:hAnsi="Arial" w:cs="Arial"/>
          <w:b/>
          <w:i/>
        </w:rPr>
        <w:t>r</w:t>
      </w:r>
      <w:r w:rsidR="003763B5" w:rsidRPr="003763B5">
        <w:rPr>
          <w:rFonts w:ascii="Arial" w:hAnsi="Arial" w:cs="Arial"/>
          <w:b/>
          <w:i/>
        </w:rPr>
        <w:t>tin</w:t>
      </w:r>
      <w:r w:rsidR="001154AC" w:rsidRPr="003763B5">
        <w:rPr>
          <w:rFonts w:ascii="Arial" w:hAnsi="Arial" w:cs="Arial"/>
          <w:b/>
          <w:i/>
        </w:rPr>
        <w:t xml:space="preserve"> Doksanský</w:t>
      </w:r>
      <w:r w:rsidR="003763B5" w:rsidRPr="003763B5">
        <w:rPr>
          <w:rFonts w:ascii="Arial" w:hAnsi="Arial" w:cs="Arial"/>
          <w:b/>
          <w:i/>
        </w:rPr>
        <w:t>, generální ředitel SMP.</w:t>
      </w: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931D64" w:rsidRPr="00931D64" w:rsidTr="00B44E3F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31D64" w:rsidRPr="00931D64" w:rsidRDefault="001D063E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931D64" w:rsidRPr="00931D64" w:rsidTr="00B44E3F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64" w:rsidRPr="00931D64" w:rsidRDefault="00931D64" w:rsidP="00931D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31D64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1D063E" w:rsidRPr="00931D64" w:rsidRDefault="001D063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+50,4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27 637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+39,2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931D64" w:rsidRDefault="001D063E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1 104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+30,5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36 193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+21,5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931D64" w:rsidRDefault="001D063E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913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42 090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+43,5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931D64" w:rsidRDefault="001D063E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-21,4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27 894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-39,9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931D64" w:rsidRDefault="001D063E" w:rsidP="00931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3 433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133 814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+6,7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1D063E" w:rsidRPr="00931D64" w:rsidRDefault="001D063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931D64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26 985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-2,4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931D64" w:rsidRDefault="001D063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25 877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-28,5</w:t>
            </w:r>
          </w:p>
        </w:tc>
      </w:tr>
      <w:tr w:rsidR="001D063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931D64" w:rsidRDefault="001D063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489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-46,4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17 884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-57,5</w:t>
            </w:r>
          </w:p>
        </w:tc>
      </w:tr>
      <w:tr w:rsidR="00B8560E" w:rsidRPr="00931D64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8560E" w:rsidRPr="00931D64" w:rsidRDefault="00B8560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8560E" w:rsidRPr="00B8560E" w:rsidRDefault="00B8560E" w:rsidP="00B85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 428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560E" w:rsidRPr="00B8560E" w:rsidRDefault="00B8560E" w:rsidP="00B856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8560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23 913 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8560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-14,3</w:t>
            </w:r>
          </w:p>
        </w:tc>
      </w:tr>
      <w:tr w:rsidR="00B8560E" w:rsidRPr="007C57A5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8560E" w:rsidRPr="00931D64" w:rsidRDefault="00B8560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0E" w:rsidRPr="00B8560E" w:rsidRDefault="00B8560E" w:rsidP="00B856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Prosinec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60E" w:rsidRPr="00B8560E" w:rsidRDefault="00B8560E" w:rsidP="00B856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8560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10 271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8560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-3,7</w:t>
            </w:r>
          </w:p>
        </w:tc>
      </w:tr>
      <w:tr w:rsidR="00B8560E" w:rsidRPr="007C57A5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8560E" w:rsidRPr="00931D64" w:rsidRDefault="00B8560E" w:rsidP="0093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0E" w:rsidRPr="00B8560E" w:rsidRDefault="00B8560E" w:rsidP="00B856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2 939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60E" w:rsidRPr="00B8560E" w:rsidRDefault="00B8560E" w:rsidP="00B856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8560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94 659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B8560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8560E" w:rsidRPr="00B8560E" w:rsidRDefault="00B8560E" w:rsidP="00B856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8560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-29,3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B64AEB" w:rsidRDefault="00B64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42D5" w:rsidRPr="009442D5" w:rsidRDefault="000B09D7" w:rsidP="009442D5">
      <w:pPr>
        <w:spacing w:after="0" w:line="360" w:lineRule="auto"/>
        <w:jc w:val="both"/>
        <w:rPr>
          <w:rFonts w:ascii="Arial" w:hAnsi="Arial" w:cs="Arial"/>
        </w:rPr>
      </w:pPr>
      <w:r w:rsidRPr="003C69F9">
        <w:rPr>
          <w:rFonts w:ascii="Arial" w:hAnsi="Arial" w:cs="Arial"/>
        </w:rPr>
        <w:t>Z výše uvedených výběrových řízen</w:t>
      </w:r>
      <w:r w:rsidR="00C65B35">
        <w:rPr>
          <w:rFonts w:ascii="Arial" w:hAnsi="Arial" w:cs="Arial"/>
        </w:rPr>
        <w:t>í již bylo státními investory 60</w:t>
      </w:r>
      <w:r w:rsidRPr="003C69F9">
        <w:rPr>
          <w:rFonts w:ascii="Arial" w:hAnsi="Arial" w:cs="Arial"/>
        </w:rPr>
        <w:t xml:space="preserve"> procent ukončeno a zadáno konkrétní</w:t>
      </w:r>
      <w:r w:rsidR="00B3407B">
        <w:rPr>
          <w:rFonts w:ascii="Arial" w:hAnsi="Arial" w:cs="Arial"/>
        </w:rPr>
        <w:t>m</w:t>
      </w:r>
      <w:r w:rsidRPr="003C69F9">
        <w:rPr>
          <w:rFonts w:ascii="Arial" w:hAnsi="Arial" w:cs="Arial"/>
        </w:rPr>
        <w:t xml:space="preserve"> stavební</w:t>
      </w:r>
      <w:r w:rsidR="00B3407B">
        <w:rPr>
          <w:rFonts w:ascii="Arial" w:hAnsi="Arial" w:cs="Arial"/>
        </w:rPr>
        <w:t>m</w:t>
      </w:r>
      <w:r w:rsidRPr="003C69F9">
        <w:rPr>
          <w:rFonts w:ascii="Arial" w:hAnsi="Arial" w:cs="Arial"/>
        </w:rPr>
        <w:t xml:space="preserve"> firm</w:t>
      </w:r>
      <w:r w:rsidR="00B3407B">
        <w:rPr>
          <w:rFonts w:ascii="Arial" w:hAnsi="Arial" w:cs="Arial"/>
        </w:rPr>
        <w:t>ám</w:t>
      </w:r>
      <w:r w:rsidRPr="003C69F9">
        <w:rPr>
          <w:rFonts w:ascii="Arial" w:hAnsi="Arial" w:cs="Arial"/>
        </w:rPr>
        <w:t xml:space="preserve">. </w:t>
      </w:r>
      <w:r w:rsidR="0009687A">
        <w:rPr>
          <w:rFonts w:ascii="Arial" w:hAnsi="Arial" w:cs="Arial"/>
        </w:rPr>
        <w:t>Z</w:t>
      </w:r>
      <w:r w:rsidR="00C65B35">
        <w:rPr>
          <w:rFonts w:ascii="Arial" w:hAnsi="Arial" w:cs="Arial"/>
        </w:rPr>
        <w:t xml:space="preserve"> celkového objemu </w:t>
      </w:r>
      <w:r w:rsidR="0009687A">
        <w:rPr>
          <w:rFonts w:ascii="Arial" w:hAnsi="Arial" w:cs="Arial"/>
        </w:rPr>
        <w:t xml:space="preserve">to </w:t>
      </w:r>
      <w:r w:rsidR="00C65B35">
        <w:rPr>
          <w:rFonts w:ascii="Arial" w:hAnsi="Arial" w:cs="Arial"/>
        </w:rPr>
        <w:t>představuje 50</w:t>
      </w:r>
      <w:r w:rsidRPr="003C69F9">
        <w:rPr>
          <w:rFonts w:ascii="Arial" w:hAnsi="Arial" w:cs="Arial"/>
        </w:rPr>
        <w:t xml:space="preserve"> proce</w:t>
      </w:r>
      <w:r w:rsidR="00C65B35">
        <w:rPr>
          <w:rFonts w:ascii="Arial" w:hAnsi="Arial" w:cs="Arial"/>
        </w:rPr>
        <w:t>nt soutěží ve vypsané hodnotě 47,5</w:t>
      </w:r>
      <w:r w:rsidRPr="003C69F9">
        <w:rPr>
          <w:rFonts w:ascii="Arial" w:hAnsi="Arial" w:cs="Arial"/>
        </w:rPr>
        <w:t xml:space="preserve"> miliardy korun. Reálně však b</w:t>
      </w:r>
      <w:r w:rsidR="00C65B35">
        <w:rPr>
          <w:rFonts w:ascii="Arial" w:hAnsi="Arial" w:cs="Arial"/>
        </w:rPr>
        <w:t>yly tyto zakázky soutěženy za 43,5</w:t>
      </w:r>
      <w:r w:rsidRPr="003C69F9">
        <w:rPr>
          <w:rFonts w:ascii="Arial" w:hAnsi="Arial" w:cs="Arial"/>
        </w:rPr>
        <w:t xml:space="preserve"> miliardy korun, což je </w:t>
      </w:r>
      <w:r w:rsidR="00C65B35">
        <w:rPr>
          <w:rFonts w:ascii="Arial" w:hAnsi="Arial" w:cs="Arial"/>
        </w:rPr>
        <w:t xml:space="preserve">zhruba </w:t>
      </w:r>
      <w:r w:rsidRPr="003C69F9">
        <w:rPr>
          <w:rFonts w:ascii="Arial" w:hAnsi="Arial" w:cs="Arial"/>
        </w:rPr>
        <w:t xml:space="preserve">o 8 procent méně, než jaká byla jejich hodnota při oznámení. </w:t>
      </w:r>
      <w:r w:rsidR="00120111" w:rsidRPr="003C69F9">
        <w:rPr>
          <w:rFonts w:ascii="Arial" w:hAnsi="Arial" w:cs="Arial"/>
        </w:rPr>
        <w:t>Po odečtení zadanýc</w:t>
      </w:r>
      <w:r w:rsidR="00EC3B66" w:rsidRPr="003C69F9">
        <w:rPr>
          <w:rFonts w:ascii="Arial" w:hAnsi="Arial" w:cs="Arial"/>
        </w:rPr>
        <w:t>h a zrušených zakázek</w:t>
      </w:r>
      <w:r w:rsidR="00C65B35">
        <w:rPr>
          <w:rFonts w:ascii="Arial" w:hAnsi="Arial" w:cs="Arial"/>
        </w:rPr>
        <w:t xml:space="preserve"> </w:t>
      </w:r>
      <w:r w:rsidR="00120111" w:rsidRPr="003C69F9">
        <w:rPr>
          <w:rFonts w:ascii="Arial" w:hAnsi="Arial" w:cs="Arial"/>
        </w:rPr>
        <w:t>zbývají v sy</w:t>
      </w:r>
      <w:r w:rsidR="00C65B35">
        <w:rPr>
          <w:rFonts w:ascii="Arial" w:hAnsi="Arial" w:cs="Arial"/>
        </w:rPr>
        <w:t>stému ještě soutěže v hodnotě 40,3</w:t>
      </w:r>
      <w:r w:rsidR="00120111" w:rsidRPr="003C69F9">
        <w:rPr>
          <w:rFonts w:ascii="Arial" w:hAnsi="Arial" w:cs="Arial"/>
        </w:rPr>
        <w:t xml:space="preserve"> miliard</w:t>
      </w:r>
      <w:r w:rsidR="00C65B35">
        <w:rPr>
          <w:rFonts w:ascii="Arial" w:hAnsi="Arial" w:cs="Arial"/>
        </w:rPr>
        <w:t>y</w:t>
      </w:r>
      <w:r w:rsidR="00120111" w:rsidRPr="003C69F9">
        <w:rPr>
          <w:rFonts w:ascii="Arial" w:hAnsi="Arial" w:cs="Arial"/>
        </w:rPr>
        <w:t xml:space="preserve"> korun.</w:t>
      </w:r>
      <w:r w:rsidR="003763B5">
        <w:rPr>
          <w:rFonts w:ascii="Arial" w:hAnsi="Arial" w:cs="Arial"/>
        </w:rPr>
        <w:t xml:space="preserve"> </w:t>
      </w:r>
      <w:r w:rsidR="003763B5" w:rsidRPr="003763B5">
        <w:rPr>
          <w:rFonts w:ascii="Arial" w:hAnsi="Arial" w:cs="Arial"/>
          <w:i/>
        </w:rPr>
        <w:t>„</w:t>
      </w:r>
      <w:r w:rsidR="009442D5" w:rsidRPr="003763B5">
        <w:rPr>
          <w:rFonts w:ascii="Arial" w:hAnsi="Arial" w:cs="Arial"/>
          <w:i/>
        </w:rPr>
        <w:t>Č</w:t>
      </w:r>
      <w:r w:rsidR="009442D5" w:rsidRPr="003763B5">
        <w:rPr>
          <w:rFonts w:ascii="Arial" w:hAnsi="Arial" w:cs="Arial"/>
          <w:i/>
        </w:rPr>
        <w:t>ísla dokumentují</w:t>
      </w:r>
      <w:r w:rsidR="009442D5" w:rsidRPr="003763B5">
        <w:rPr>
          <w:rFonts w:ascii="Arial" w:hAnsi="Arial" w:cs="Arial"/>
          <w:i/>
        </w:rPr>
        <w:t>cí</w:t>
      </w:r>
      <w:r w:rsidR="009442D5" w:rsidRPr="003763B5">
        <w:rPr>
          <w:rFonts w:ascii="Arial" w:hAnsi="Arial" w:cs="Arial"/>
          <w:i/>
        </w:rPr>
        <w:t xml:space="preserve"> loňské tristní výsledky</w:t>
      </w:r>
      <w:r w:rsidR="009442D5" w:rsidRPr="003763B5">
        <w:rPr>
          <w:rFonts w:ascii="Arial" w:hAnsi="Arial" w:cs="Arial"/>
          <w:i/>
        </w:rPr>
        <w:t xml:space="preserve"> i přes to, že v roce 2015 se Česká republika snažila dohnat deficit v čerpání z fondů EU, odborná stavbařská veřejnost očekávala. </w:t>
      </w:r>
      <w:r w:rsidR="009442D5" w:rsidRPr="003763B5">
        <w:rPr>
          <w:rFonts w:ascii="Arial" w:hAnsi="Arial" w:cs="Arial"/>
          <w:i/>
        </w:rPr>
        <w:t xml:space="preserve">Jsou důsledkem mixu nepříznivých faktorů, s nimiž se obor potýká již delší dobu, ať </w:t>
      </w:r>
      <w:r w:rsidR="00B44E3F">
        <w:rPr>
          <w:rFonts w:ascii="Arial" w:hAnsi="Arial" w:cs="Arial"/>
          <w:i/>
        </w:rPr>
        <w:t>už</w:t>
      </w:r>
      <w:r w:rsidR="00B44E3F" w:rsidRPr="003763B5">
        <w:rPr>
          <w:rFonts w:ascii="Arial" w:hAnsi="Arial" w:cs="Arial"/>
          <w:i/>
        </w:rPr>
        <w:t xml:space="preserve"> </w:t>
      </w:r>
      <w:r w:rsidR="009442D5" w:rsidRPr="003763B5">
        <w:rPr>
          <w:rFonts w:ascii="Arial" w:hAnsi="Arial" w:cs="Arial"/>
          <w:i/>
        </w:rPr>
        <w:t>je to špatný zákon o zadávání veřejných zakázek, nedokonalý stavební zákon i neustálé ztěžování procesu EIA, který se týká posuzování vlivu na životní prostřední. Je smutné, že</w:t>
      </w:r>
      <w:r w:rsidR="00B44E3F">
        <w:rPr>
          <w:rFonts w:ascii="Arial" w:hAnsi="Arial" w:cs="Arial"/>
          <w:i/>
        </w:rPr>
        <w:t>,</w:t>
      </w:r>
      <w:r w:rsidR="009442D5" w:rsidRPr="003763B5">
        <w:rPr>
          <w:rFonts w:ascii="Arial" w:hAnsi="Arial" w:cs="Arial"/>
          <w:i/>
        </w:rPr>
        <w:t xml:space="preserve"> například</w:t>
      </w:r>
      <w:r w:rsidR="00B44E3F">
        <w:rPr>
          <w:rFonts w:ascii="Arial" w:hAnsi="Arial" w:cs="Arial"/>
          <w:i/>
        </w:rPr>
        <w:t>,</w:t>
      </w:r>
      <w:r w:rsidR="009442D5" w:rsidRPr="003763B5">
        <w:rPr>
          <w:rFonts w:ascii="Arial" w:hAnsi="Arial" w:cs="Arial"/>
          <w:i/>
        </w:rPr>
        <w:t xml:space="preserve"> více než čtvrt století po listopadu 1989 nemáme funkční dálniční spojení s našimi sousedy.</w:t>
      </w:r>
      <w:r w:rsidR="003763B5" w:rsidRPr="003763B5">
        <w:rPr>
          <w:rFonts w:ascii="Arial" w:hAnsi="Arial" w:cs="Arial"/>
          <w:i/>
        </w:rPr>
        <w:t xml:space="preserve"> </w:t>
      </w:r>
      <w:r w:rsidR="009442D5" w:rsidRPr="003763B5">
        <w:rPr>
          <w:rFonts w:ascii="Arial" w:hAnsi="Arial" w:cs="Arial"/>
          <w:i/>
        </w:rPr>
        <w:t>Uvedené důvody komplikují přípravu i realizaci stavebních projektů, což se ve výsledku projevuje třeba i tím, že dlouhodobě neplníme strategické cíle rozvoje dopravní infrastruktury, plány v oblasti konkurenceschopnosti ČR</w:t>
      </w:r>
      <w:r w:rsidR="00B44E3F">
        <w:rPr>
          <w:rFonts w:ascii="Arial" w:hAnsi="Arial" w:cs="Arial"/>
          <w:i/>
        </w:rPr>
        <w:t>,</w:t>
      </w:r>
      <w:r w:rsidR="009442D5" w:rsidRPr="003763B5">
        <w:rPr>
          <w:rFonts w:ascii="Arial" w:hAnsi="Arial" w:cs="Arial"/>
          <w:i/>
        </w:rPr>
        <w:t xml:space="preserve"> ani </w:t>
      </w:r>
      <w:r w:rsidR="003763B5" w:rsidRPr="003763B5">
        <w:rPr>
          <w:rFonts w:ascii="Arial" w:hAnsi="Arial" w:cs="Arial"/>
          <w:i/>
        </w:rPr>
        <w:t xml:space="preserve">vládní prohlášení minulých vlád,“ </w:t>
      </w:r>
      <w:r w:rsidR="003763B5">
        <w:rPr>
          <w:rFonts w:ascii="Arial" w:hAnsi="Arial" w:cs="Arial"/>
        </w:rPr>
        <w:t xml:space="preserve">říká </w:t>
      </w:r>
      <w:r w:rsidR="003763B5" w:rsidRPr="003763B5">
        <w:rPr>
          <w:rFonts w:ascii="Arial" w:hAnsi="Arial" w:cs="Arial"/>
          <w:b/>
          <w:i/>
        </w:rPr>
        <w:t>Pavel Pilát, generální ředitel společnosti Metrostav.</w:t>
      </w:r>
    </w:p>
    <w:p w:rsidR="006D2CD0" w:rsidRDefault="00922AE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  <w:color w:val="000000" w:themeColor="text1"/>
        </w:rPr>
        <w:t xml:space="preserve"> </w:t>
      </w:r>
    </w:p>
    <w:p w:rsidR="00B3407B" w:rsidRPr="003C69F9" w:rsidRDefault="00B3407B" w:rsidP="00B340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prosinci</w:t>
      </w:r>
      <w:r w:rsidRPr="003C69F9">
        <w:rPr>
          <w:rFonts w:ascii="Arial" w:hAnsi="Arial" w:cs="Arial"/>
          <w:color w:val="000000" w:themeColor="text1"/>
        </w:rPr>
        <w:t xml:space="preserve"> roku 2015 bylo veřejnými investory oznámeno </w:t>
      </w:r>
      <w:r>
        <w:rPr>
          <w:rFonts w:ascii="Arial" w:hAnsi="Arial" w:cs="Arial"/>
          <w:color w:val="000000" w:themeColor="text1"/>
        </w:rPr>
        <w:t>celkem 165</w:t>
      </w:r>
      <w:r w:rsidRPr="003C69F9">
        <w:rPr>
          <w:rFonts w:ascii="Arial" w:hAnsi="Arial" w:cs="Arial"/>
          <w:color w:val="000000" w:themeColor="text1"/>
        </w:rPr>
        <w:t xml:space="preserve"> výběrových řízení v hodnotě </w:t>
      </w:r>
      <w:r>
        <w:rPr>
          <w:rFonts w:ascii="Arial" w:hAnsi="Arial" w:cs="Arial"/>
          <w:color w:val="000000" w:themeColor="text1"/>
        </w:rPr>
        <w:t>10</w:t>
      </w:r>
      <w:r w:rsidRPr="003C69F9">
        <w:rPr>
          <w:rFonts w:ascii="Arial" w:hAnsi="Arial" w:cs="Arial"/>
          <w:color w:val="000000" w:themeColor="text1"/>
        </w:rPr>
        <w:t>,3 miliardy korun.</w:t>
      </w:r>
      <w:r>
        <w:rPr>
          <w:rFonts w:ascii="Arial" w:hAnsi="Arial" w:cs="Arial"/>
          <w:color w:val="000000" w:themeColor="text1"/>
        </w:rPr>
        <w:t xml:space="preserve"> Přestože je to po červenci z hlediska objemu</w:t>
      </w:r>
      <w:r w:rsidR="00B44E3F">
        <w:rPr>
          <w:rFonts w:ascii="Arial" w:hAnsi="Arial" w:cs="Arial"/>
          <w:color w:val="000000" w:themeColor="text1"/>
        </w:rPr>
        <w:t xml:space="preserve"> (10,5 miliardy) </w:t>
      </w:r>
      <w:r>
        <w:rPr>
          <w:rFonts w:ascii="Arial" w:hAnsi="Arial" w:cs="Arial"/>
          <w:color w:val="000000" w:themeColor="text1"/>
        </w:rPr>
        <w:t xml:space="preserve">druhý nejsilnější měsíc uplynulého roku, v meziročním srovnání </w:t>
      </w:r>
      <w:r w:rsidR="00B44E3F">
        <w:rPr>
          <w:rFonts w:ascii="Arial" w:hAnsi="Arial" w:cs="Arial"/>
          <w:color w:val="000000" w:themeColor="text1"/>
        </w:rPr>
        <w:t xml:space="preserve">se jedná </w:t>
      </w:r>
      <w:r>
        <w:rPr>
          <w:rFonts w:ascii="Arial" w:hAnsi="Arial" w:cs="Arial"/>
          <w:color w:val="000000" w:themeColor="text1"/>
        </w:rPr>
        <w:t>stále o pokles objemu o 3,7 procenta. Pokles počtu oznámených zakázek je oproti stejnému období roku 2014 dokonce pětinový (19,5 procenta).</w:t>
      </w:r>
      <w:r w:rsidR="00C23AB8">
        <w:rPr>
          <w:rFonts w:ascii="Arial" w:hAnsi="Arial" w:cs="Arial"/>
          <w:color w:val="000000" w:themeColor="text1"/>
        </w:rPr>
        <w:t xml:space="preserve"> </w:t>
      </w:r>
      <w:r w:rsidR="00C23AB8" w:rsidRPr="00C23AB8">
        <w:rPr>
          <w:rFonts w:ascii="Arial" w:hAnsi="Arial" w:cs="Arial"/>
          <w:i/>
          <w:color w:val="000000" w:themeColor="text1"/>
        </w:rPr>
        <w:t>„V roce 2015 se dařilo firmám, které se věnují především rekonstrukcím dopravních staveb. Projektů na pozemní výstavbu</w:t>
      </w:r>
      <w:r w:rsidR="00B44E3F">
        <w:rPr>
          <w:rFonts w:ascii="Arial" w:hAnsi="Arial" w:cs="Arial"/>
          <w:i/>
          <w:color w:val="000000" w:themeColor="text1"/>
        </w:rPr>
        <w:t>,</w:t>
      </w:r>
      <w:r w:rsidR="00C23AB8" w:rsidRPr="00C23AB8">
        <w:rPr>
          <w:rFonts w:ascii="Arial" w:hAnsi="Arial" w:cs="Arial"/>
          <w:i/>
          <w:color w:val="000000" w:themeColor="text1"/>
        </w:rPr>
        <w:t xml:space="preserve"> </w:t>
      </w:r>
      <w:r w:rsidR="00B44E3F">
        <w:rPr>
          <w:rFonts w:ascii="Arial" w:hAnsi="Arial" w:cs="Arial"/>
          <w:i/>
          <w:color w:val="000000" w:themeColor="text1"/>
        </w:rPr>
        <w:t>či</w:t>
      </w:r>
      <w:r w:rsidR="00B44E3F" w:rsidRPr="00C23AB8">
        <w:rPr>
          <w:rFonts w:ascii="Arial" w:hAnsi="Arial" w:cs="Arial"/>
          <w:i/>
          <w:color w:val="000000" w:themeColor="text1"/>
        </w:rPr>
        <w:t xml:space="preserve"> </w:t>
      </w:r>
      <w:r w:rsidR="00C23AB8" w:rsidRPr="00C23AB8">
        <w:rPr>
          <w:rFonts w:ascii="Arial" w:hAnsi="Arial" w:cs="Arial"/>
          <w:i/>
          <w:color w:val="000000" w:themeColor="text1"/>
        </w:rPr>
        <w:t>na velké investiční celky</w:t>
      </w:r>
      <w:r w:rsidR="00B44E3F">
        <w:rPr>
          <w:rFonts w:ascii="Arial" w:hAnsi="Arial" w:cs="Arial"/>
          <w:i/>
          <w:color w:val="000000" w:themeColor="text1"/>
        </w:rPr>
        <w:t>,</w:t>
      </w:r>
      <w:r w:rsidR="00C23AB8" w:rsidRPr="00C23AB8">
        <w:rPr>
          <w:rFonts w:ascii="Arial" w:hAnsi="Arial" w:cs="Arial"/>
          <w:i/>
          <w:color w:val="000000" w:themeColor="text1"/>
        </w:rPr>
        <w:t xml:space="preserve"> nebylo realizováno dost a boj o ně mezi společnostmi nadále trvá,“</w:t>
      </w:r>
      <w:r w:rsidR="00C23AB8">
        <w:rPr>
          <w:rFonts w:ascii="Arial" w:hAnsi="Arial" w:cs="Arial"/>
          <w:color w:val="000000" w:themeColor="text1"/>
        </w:rPr>
        <w:t xml:space="preserve"> </w:t>
      </w:r>
      <w:r w:rsidR="00B44E3F">
        <w:rPr>
          <w:rFonts w:ascii="Arial" w:hAnsi="Arial" w:cs="Arial"/>
          <w:color w:val="000000" w:themeColor="text1"/>
        </w:rPr>
        <w:t xml:space="preserve">hodnotí situaci </w:t>
      </w:r>
      <w:r w:rsidR="00C23AB8" w:rsidRPr="00C23AB8">
        <w:rPr>
          <w:rFonts w:ascii="Arial" w:hAnsi="Arial" w:cs="Arial"/>
          <w:b/>
          <w:i/>
          <w:color w:val="000000" w:themeColor="text1"/>
        </w:rPr>
        <w:t xml:space="preserve">Mário Červenka, ředitel developerské společnosti </w:t>
      </w:r>
      <w:proofErr w:type="gramStart"/>
      <w:r w:rsidR="00C23AB8" w:rsidRPr="00C23AB8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C23AB8" w:rsidRPr="00C23AB8">
        <w:rPr>
          <w:rFonts w:ascii="Arial" w:hAnsi="Arial" w:cs="Arial"/>
          <w:b/>
          <w:i/>
          <w:color w:val="000000" w:themeColor="text1"/>
        </w:rPr>
        <w:t>C. Invest.</w:t>
      </w:r>
    </w:p>
    <w:p w:rsidR="00B3407B" w:rsidRPr="003C69F9" w:rsidRDefault="00B3407B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373643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  <w:color w:val="000000" w:themeColor="text1"/>
        </w:rPr>
        <w:lastRenderedPageBreak/>
        <w:t xml:space="preserve">Aktivita veřejných investorů </w:t>
      </w:r>
      <w:r w:rsidR="00B44E3F">
        <w:rPr>
          <w:rFonts w:ascii="Arial" w:hAnsi="Arial" w:cs="Arial"/>
          <w:color w:val="000000" w:themeColor="text1"/>
        </w:rPr>
        <w:t>při</w:t>
      </w:r>
      <w:r w:rsidRPr="003C69F9">
        <w:rPr>
          <w:rFonts w:ascii="Arial" w:hAnsi="Arial" w:cs="Arial"/>
          <w:color w:val="000000" w:themeColor="text1"/>
        </w:rPr>
        <w:t xml:space="preserve"> ukončování výběrových řízení </w:t>
      </w:r>
      <w:r w:rsidR="007B767C">
        <w:rPr>
          <w:rFonts w:ascii="Arial" w:hAnsi="Arial" w:cs="Arial"/>
          <w:color w:val="000000" w:themeColor="text1"/>
        </w:rPr>
        <w:t>se v roce 2015</w:t>
      </w:r>
      <w:r w:rsidRPr="003C69F9">
        <w:rPr>
          <w:rFonts w:ascii="Arial" w:hAnsi="Arial" w:cs="Arial"/>
          <w:color w:val="000000" w:themeColor="text1"/>
        </w:rPr>
        <w:t xml:space="preserve"> </w:t>
      </w:r>
      <w:r w:rsidR="007B767C">
        <w:rPr>
          <w:rFonts w:ascii="Arial" w:hAnsi="Arial" w:cs="Arial"/>
          <w:color w:val="000000" w:themeColor="text1"/>
        </w:rPr>
        <w:t xml:space="preserve">celkově držela </w:t>
      </w:r>
      <w:r w:rsidRPr="003C69F9">
        <w:rPr>
          <w:rFonts w:ascii="Arial" w:hAnsi="Arial" w:cs="Arial"/>
          <w:color w:val="000000" w:themeColor="text1"/>
        </w:rPr>
        <w:t>na téměř stejné úrovni jako</w:t>
      </w:r>
      <w:r w:rsidR="007B767C">
        <w:rPr>
          <w:rFonts w:ascii="Arial" w:hAnsi="Arial" w:cs="Arial"/>
          <w:color w:val="000000" w:themeColor="text1"/>
        </w:rPr>
        <w:t xml:space="preserve"> v roce předchozím. Za dvanáct měsíců roku</w:t>
      </w:r>
      <w:r w:rsidRPr="003C69F9">
        <w:rPr>
          <w:rFonts w:ascii="Arial" w:hAnsi="Arial" w:cs="Arial"/>
          <w:color w:val="000000" w:themeColor="text1"/>
        </w:rPr>
        <w:t xml:space="preserve"> 2015 bylo za</w:t>
      </w:r>
      <w:r w:rsidR="007B767C">
        <w:rPr>
          <w:rFonts w:ascii="Arial" w:hAnsi="Arial" w:cs="Arial"/>
          <w:color w:val="000000" w:themeColor="text1"/>
        </w:rPr>
        <w:t>dáno konkrétním dodavatelům 5985 zakázek v celkové hodnotě 114</w:t>
      </w:r>
      <w:r w:rsidRPr="003C69F9">
        <w:rPr>
          <w:rFonts w:ascii="Arial" w:hAnsi="Arial" w:cs="Arial"/>
          <w:color w:val="000000" w:themeColor="text1"/>
        </w:rPr>
        <w:t xml:space="preserve"> miliard korun. V meziročním srovnání </w:t>
      </w:r>
      <w:r w:rsidR="00B44E3F">
        <w:rPr>
          <w:rFonts w:ascii="Arial" w:hAnsi="Arial" w:cs="Arial"/>
          <w:color w:val="000000" w:themeColor="text1"/>
        </w:rPr>
        <w:t xml:space="preserve">se </w:t>
      </w:r>
      <w:r w:rsidRPr="003C69F9">
        <w:rPr>
          <w:rFonts w:ascii="Arial" w:hAnsi="Arial" w:cs="Arial"/>
          <w:color w:val="000000" w:themeColor="text1"/>
        </w:rPr>
        <w:t xml:space="preserve">tak </w:t>
      </w:r>
      <w:r w:rsidR="00B44E3F">
        <w:rPr>
          <w:rFonts w:ascii="Arial" w:hAnsi="Arial" w:cs="Arial"/>
          <w:color w:val="000000" w:themeColor="text1"/>
        </w:rPr>
        <w:t>jedná</w:t>
      </w:r>
      <w:r w:rsidR="00B44E3F" w:rsidRPr="003C69F9">
        <w:rPr>
          <w:rFonts w:ascii="Arial" w:hAnsi="Arial" w:cs="Arial"/>
          <w:color w:val="000000" w:themeColor="text1"/>
        </w:rPr>
        <w:t xml:space="preserve"> </w:t>
      </w:r>
      <w:r w:rsidRPr="003C69F9">
        <w:rPr>
          <w:rFonts w:ascii="Arial" w:hAnsi="Arial" w:cs="Arial"/>
          <w:color w:val="000000" w:themeColor="text1"/>
        </w:rPr>
        <w:t>o nárůst o</w:t>
      </w:r>
      <w:r w:rsidR="007B767C">
        <w:rPr>
          <w:rFonts w:ascii="Arial" w:hAnsi="Arial" w:cs="Arial"/>
          <w:color w:val="000000" w:themeColor="text1"/>
        </w:rPr>
        <w:t xml:space="preserve"> 4,6</w:t>
      </w:r>
      <w:r w:rsidR="000B09D7" w:rsidRPr="003C69F9">
        <w:rPr>
          <w:rFonts w:ascii="Arial" w:hAnsi="Arial" w:cs="Arial"/>
          <w:color w:val="000000" w:themeColor="text1"/>
        </w:rPr>
        <w:t xml:space="preserve"> procent</w:t>
      </w:r>
      <w:r w:rsidR="007B767C">
        <w:rPr>
          <w:rFonts w:ascii="Arial" w:hAnsi="Arial" w:cs="Arial"/>
          <w:color w:val="000000" w:themeColor="text1"/>
        </w:rPr>
        <w:t>a</w:t>
      </w:r>
      <w:r w:rsidR="00B3407B">
        <w:rPr>
          <w:rFonts w:ascii="Arial" w:hAnsi="Arial" w:cs="Arial"/>
          <w:color w:val="000000" w:themeColor="text1"/>
        </w:rPr>
        <w:t xml:space="preserve"> (počtu)</w:t>
      </w:r>
      <w:r w:rsidR="007B767C">
        <w:rPr>
          <w:rFonts w:ascii="Arial" w:hAnsi="Arial" w:cs="Arial"/>
          <w:color w:val="000000" w:themeColor="text1"/>
        </w:rPr>
        <w:t>, respektive pokles o 2,8</w:t>
      </w:r>
      <w:r w:rsidR="000B09D7" w:rsidRPr="003C69F9">
        <w:rPr>
          <w:rFonts w:ascii="Arial" w:hAnsi="Arial" w:cs="Arial"/>
          <w:color w:val="000000" w:themeColor="text1"/>
        </w:rPr>
        <w:t xml:space="preserve"> procenta</w:t>
      </w:r>
      <w:r w:rsidR="00B3407B">
        <w:rPr>
          <w:rFonts w:ascii="Arial" w:hAnsi="Arial" w:cs="Arial"/>
          <w:color w:val="000000" w:themeColor="text1"/>
        </w:rPr>
        <w:t xml:space="preserve"> (objemu)</w:t>
      </w:r>
      <w:r w:rsidR="000B09D7" w:rsidRPr="003C69F9"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B44E3F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  <w:r w:rsidR="005E4C98">
        <w:rPr>
          <w:rFonts w:ascii="Arial" w:hAnsi="Arial" w:cs="Arial"/>
        </w:rPr>
        <w:t xml:space="preserve"> </w:t>
      </w:r>
      <w:r w:rsidR="003763B5" w:rsidRPr="003763B5">
        <w:rPr>
          <w:rFonts w:ascii="Arial" w:hAnsi="Arial" w:cs="Arial"/>
          <w:i/>
        </w:rPr>
        <w:t>„</w:t>
      </w:r>
      <w:r w:rsidR="005E4C98" w:rsidRPr="003763B5">
        <w:rPr>
          <w:rFonts w:ascii="Arial" w:hAnsi="Arial" w:cs="Arial"/>
          <w:i/>
        </w:rPr>
        <w:t>Uvedené poklesy nepovažuji za nijak dramatické – poptávku privátních investorů hodnotím jako stabilní. Očekávané zpomalení tempa růstu v sektoru stavebnictví v roce 2016 je způsobeno především mimořádným dočerpáváním evropských fondů v roce 2015 v oblasti dopravního stavitelství. Nízký počet vypsaných stavebních zakázek v roce 2015 je částečně způsoben očekávaným zpožděním některých infrastrukturních projektů. Hlavním důvodem tohoto zpoždění jsou dopady novely zákona o posuzování vlivu staveb na životní prostředí (EIA), kdy například stanovisko EIA bude závazné pro další povolovací řízení</w:t>
      </w:r>
      <w:r w:rsidR="003763B5">
        <w:rPr>
          <w:rFonts w:ascii="Arial" w:hAnsi="Arial" w:cs="Arial"/>
          <w:i/>
        </w:rPr>
        <w:t xml:space="preserve"> </w:t>
      </w:r>
      <w:r w:rsidR="005E4C98" w:rsidRPr="003763B5">
        <w:rPr>
          <w:rFonts w:ascii="Arial" w:hAnsi="Arial" w:cs="Arial"/>
          <w:i/>
        </w:rPr>
        <w:t>(dříve bylo pouze podkladem</w:t>
      </w:r>
      <w:bookmarkStart w:id="0" w:name="_GoBack"/>
      <w:r w:rsidR="008739A9">
        <w:rPr>
          <w:rFonts w:ascii="Arial" w:hAnsi="Arial" w:cs="Arial"/>
          <w:i/>
        </w:rPr>
        <w:t>,</w:t>
      </w:r>
      <w:bookmarkEnd w:id="0"/>
      <w:r w:rsidR="005E4C98" w:rsidRPr="003763B5">
        <w:rPr>
          <w:rFonts w:ascii="Arial" w:hAnsi="Arial" w:cs="Arial"/>
          <w:i/>
        </w:rPr>
        <w:t xml:space="preserve"> a záměr se mohl uskutečnit i s nesouhlasným stanoviskem EIA). To může některé infrastrukturní projekty zpozdit, některé i na delší dobu "zamrazit". V roce 2017 a 2018 pak znovu očekáváme nárůst poptávky veřejných investorů,"</w:t>
      </w:r>
      <w:r w:rsidR="005E4C98" w:rsidRPr="005E4C98">
        <w:rPr>
          <w:rFonts w:ascii="Arial" w:hAnsi="Arial" w:cs="Arial"/>
        </w:rPr>
        <w:t xml:space="preserve"> hodnotí aktuální výsledky a výhled do budoucna </w:t>
      </w:r>
      <w:r w:rsidR="005E4C98" w:rsidRPr="003763B5">
        <w:rPr>
          <w:rFonts w:ascii="Arial" w:hAnsi="Arial" w:cs="Arial"/>
          <w:b/>
          <w:i/>
        </w:rPr>
        <w:t>Karel Köszegi, ředitel strategického plánování společností skupiny CEMEX.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zadání zakázky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2"/>
        <w:gridCol w:w="1063"/>
        <w:gridCol w:w="1047"/>
        <w:gridCol w:w="1062"/>
        <w:gridCol w:w="1069"/>
        <w:gridCol w:w="1042"/>
        <w:gridCol w:w="1068"/>
      </w:tblGrid>
      <w:tr w:rsidR="00395602" w:rsidRPr="00395602" w:rsidTr="00B44E3F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95602" w:rsidRPr="00395602" w:rsidRDefault="001D063E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395602" w:rsidRPr="00395602" w:rsidTr="00B44E3F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AB3A5B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</w:t>
            </w:r>
            <w:r w:rsidR="00395602"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602" w:rsidRPr="00395602" w:rsidRDefault="00395602" w:rsidP="003956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395602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1D063E" w:rsidRPr="00395602" w:rsidRDefault="001D063E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+78,0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23 081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+103,3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395602" w:rsidRDefault="001D063E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1 632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32 580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+26,9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395602" w:rsidRDefault="001D063E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1 716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-26,7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33 493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-5,0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395602" w:rsidRDefault="001D063E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1 404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-21,7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28 646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+9,2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395602" w:rsidRDefault="001D063E" w:rsidP="00395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5 722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117 801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+19,6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1D063E" w:rsidRPr="00395602" w:rsidRDefault="001D063E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9560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1 086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21 323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-7,6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395602" w:rsidRDefault="001D063E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1 584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34 751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+6,7</w:t>
            </w:r>
          </w:p>
        </w:tc>
      </w:tr>
      <w:tr w:rsidR="001D063E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1D063E" w:rsidRPr="00395602" w:rsidRDefault="001D063E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1 889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36 909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1D063E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1D063E" w:rsidRPr="001D063E" w:rsidRDefault="001D063E" w:rsidP="001D06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1D063E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+10,2</w:t>
            </w:r>
          </w:p>
        </w:tc>
      </w:tr>
      <w:tr w:rsidR="007B767C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B767C" w:rsidRPr="00395602" w:rsidRDefault="007B767C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B767C" w:rsidRPr="007B767C" w:rsidRDefault="007B767C" w:rsidP="007B7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1 426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67C" w:rsidRPr="007B767C" w:rsidRDefault="007B767C" w:rsidP="007B76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7B767C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31 463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B767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-25,1</w:t>
            </w:r>
          </w:p>
        </w:tc>
      </w:tr>
      <w:tr w:rsidR="007B767C" w:rsidRPr="001D063E" w:rsidTr="00B44E3F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B767C" w:rsidRPr="00395602" w:rsidRDefault="007B767C" w:rsidP="00395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67C" w:rsidRPr="007B767C" w:rsidRDefault="007B767C" w:rsidP="007B76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5 985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67C" w:rsidRPr="007B767C" w:rsidRDefault="007B767C" w:rsidP="007B76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7B767C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+4,6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114 446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B767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B767C" w:rsidRPr="007B767C" w:rsidRDefault="007B767C" w:rsidP="007B7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B767C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-2,8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lastRenderedPageBreak/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85" w:rsidRDefault="00267385" w:rsidP="00A76E50">
      <w:pPr>
        <w:spacing w:after="0" w:line="240" w:lineRule="auto"/>
      </w:pPr>
      <w:r>
        <w:separator/>
      </w:r>
    </w:p>
  </w:endnote>
  <w:endnote w:type="continuationSeparator" w:id="0">
    <w:p w:rsidR="00267385" w:rsidRDefault="00267385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85" w:rsidRDefault="00267385" w:rsidP="00A76E50">
      <w:pPr>
        <w:spacing w:after="0" w:line="240" w:lineRule="auto"/>
      </w:pPr>
      <w:r>
        <w:separator/>
      </w:r>
    </w:p>
  </w:footnote>
  <w:footnote w:type="continuationSeparator" w:id="0">
    <w:p w:rsidR="00267385" w:rsidRDefault="00267385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3F" w:rsidRDefault="00B44E3F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4E3F" w:rsidRDefault="00B44E3F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</w:t>
    </w: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B44E3F" w:rsidRPr="00AC2D6D" w:rsidRDefault="00B44E3F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B44E3F" w:rsidRDefault="00B44E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6986"/>
    <w:rsid w:val="0002357B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5235"/>
    <w:rsid w:val="00076EE1"/>
    <w:rsid w:val="00077A03"/>
    <w:rsid w:val="000803AD"/>
    <w:rsid w:val="00080FA0"/>
    <w:rsid w:val="000853CA"/>
    <w:rsid w:val="00092923"/>
    <w:rsid w:val="00093D49"/>
    <w:rsid w:val="000957C6"/>
    <w:rsid w:val="0009687A"/>
    <w:rsid w:val="000A03AB"/>
    <w:rsid w:val="000A0C73"/>
    <w:rsid w:val="000A2E0E"/>
    <w:rsid w:val="000A593D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54AC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67693"/>
    <w:rsid w:val="00172C66"/>
    <w:rsid w:val="00180560"/>
    <w:rsid w:val="001854A9"/>
    <w:rsid w:val="00186AD2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1533"/>
    <w:rsid w:val="00212725"/>
    <w:rsid w:val="00215C0D"/>
    <w:rsid w:val="00223578"/>
    <w:rsid w:val="002253BD"/>
    <w:rsid w:val="002262A5"/>
    <w:rsid w:val="00227396"/>
    <w:rsid w:val="0023367D"/>
    <w:rsid w:val="00233D6F"/>
    <w:rsid w:val="002353AC"/>
    <w:rsid w:val="00237274"/>
    <w:rsid w:val="00237E98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385"/>
    <w:rsid w:val="002678EB"/>
    <w:rsid w:val="00271171"/>
    <w:rsid w:val="00271596"/>
    <w:rsid w:val="00275AD4"/>
    <w:rsid w:val="002818F3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3B5"/>
    <w:rsid w:val="00376974"/>
    <w:rsid w:val="00376E15"/>
    <w:rsid w:val="00383358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95B"/>
    <w:rsid w:val="003D47EA"/>
    <w:rsid w:val="003D48F8"/>
    <w:rsid w:val="003D630D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1515B"/>
    <w:rsid w:val="0042131A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4C7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826BC"/>
    <w:rsid w:val="00584A1E"/>
    <w:rsid w:val="0058771B"/>
    <w:rsid w:val="005912D0"/>
    <w:rsid w:val="005912F8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1B3E"/>
    <w:rsid w:val="005E2954"/>
    <w:rsid w:val="005E295F"/>
    <w:rsid w:val="005E30D6"/>
    <w:rsid w:val="005E4C98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E20F2"/>
    <w:rsid w:val="006E4E8A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3269"/>
    <w:rsid w:val="0076588A"/>
    <w:rsid w:val="00766B88"/>
    <w:rsid w:val="00770276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1779"/>
    <w:rsid w:val="007E2491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51A2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9A9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92D71"/>
    <w:rsid w:val="008A1918"/>
    <w:rsid w:val="008A2D79"/>
    <w:rsid w:val="008A2FAF"/>
    <w:rsid w:val="008A2FB6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D58"/>
    <w:rsid w:val="008E4090"/>
    <w:rsid w:val="008E51E4"/>
    <w:rsid w:val="008E5286"/>
    <w:rsid w:val="008E70F3"/>
    <w:rsid w:val="008F20F7"/>
    <w:rsid w:val="008F3AEB"/>
    <w:rsid w:val="008F4D01"/>
    <w:rsid w:val="00902A00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2D5"/>
    <w:rsid w:val="009443F0"/>
    <w:rsid w:val="009452AD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447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31C13"/>
    <w:rsid w:val="00B33367"/>
    <w:rsid w:val="00B3407B"/>
    <w:rsid w:val="00B41CB4"/>
    <w:rsid w:val="00B42338"/>
    <w:rsid w:val="00B42D41"/>
    <w:rsid w:val="00B42E63"/>
    <w:rsid w:val="00B44E3F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C6299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23AB8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6CD"/>
    <w:rsid w:val="00D01988"/>
    <w:rsid w:val="00D1081C"/>
    <w:rsid w:val="00D1155A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81054"/>
    <w:rsid w:val="00D82AEE"/>
    <w:rsid w:val="00D8719A"/>
    <w:rsid w:val="00D87C81"/>
    <w:rsid w:val="00D91433"/>
    <w:rsid w:val="00D948F5"/>
    <w:rsid w:val="00DB07A6"/>
    <w:rsid w:val="00DB21E5"/>
    <w:rsid w:val="00DB34B3"/>
    <w:rsid w:val="00DB5326"/>
    <w:rsid w:val="00DC4B47"/>
    <w:rsid w:val="00DC6643"/>
    <w:rsid w:val="00DD367E"/>
    <w:rsid w:val="00DD6138"/>
    <w:rsid w:val="00DE2083"/>
    <w:rsid w:val="00DE5DFF"/>
    <w:rsid w:val="00DE6045"/>
    <w:rsid w:val="00DE6B4C"/>
    <w:rsid w:val="00DF10AB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46E8"/>
    <w:rsid w:val="00E250FF"/>
    <w:rsid w:val="00E25CA4"/>
    <w:rsid w:val="00E27F64"/>
    <w:rsid w:val="00E32B62"/>
    <w:rsid w:val="00E35919"/>
    <w:rsid w:val="00E367CE"/>
    <w:rsid w:val="00E43A88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F2E"/>
    <w:rsid w:val="00EA4F78"/>
    <w:rsid w:val="00EB37E6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F00"/>
    <w:rsid w:val="00EE4A95"/>
    <w:rsid w:val="00EF0B88"/>
    <w:rsid w:val="00EF25C5"/>
    <w:rsid w:val="00EF37DB"/>
    <w:rsid w:val="00EF6BE0"/>
    <w:rsid w:val="00EF7BB3"/>
    <w:rsid w:val="00F01CB3"/>
    <w:rsid w:val="00F023F0"/>
    <w:rsid w:val="00F15EB5"/>
    <w:rsid w:val="00F17FD0"/>
    <w:rsid w:val="00F20E32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615CB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BE308-777A-4DC8-A441-536728A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A773-EAC1-4E3E-BBB5-131F1022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5</cp:revision>
  <dcterms:created xsi:type="dcterms:W3CDTF">2016-01-26T15:27:00Z</dcterms:created>
  <dcterms:modified xsi:type="dcterms:W3CDTF">2016-01-27T07:58:00Z</dcterms:modified>
</cp:coreProperties>
</file>