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CC" w:rsidRDefault="00215C0D" w:rsidP="00EC72CC">
      <w:pPr>
        <w:spacing w:after="0" w:line="360" w:lineRule="auto"/>
        <w:jc w:val="center"/>
        <w:rPr>
          <w:rFonts w:ascii="Arial" w:eastAsia="SimSun" w:hAnsi="Arial" w:cs="Arial"/>
          <w:b/>
          <w:bCs/>
          <w:color w:val="000000" w:themeColor="text1"/>
          <w:kern w:val="1"/>
          <w:sz w:val="32"/>
          <w:szCs w:val="32"/>
        </w:rPr>
      </w:pPr>
      <w:r>
        <w:rPr>
          <w:rFonts w:ascii="Arial" w:eastAsia="SimSun" w:hAnsi="Arial" w:cs="Arial"/>
          <w:b/>
          <w:bCs/>
          <w:color w:val="000000" w:themeColor="text1"/>
          <w:kern w:val="1"/>
          <w:sz w:val="32"/>
          <w:szCs w:val="32"/>
        </w:rPr>
        <w:t>Stát vypsal zakázky na stavební práce za 10,5 miliardy korun</w:t>
      </w:r>
    </w:p>
    <w:p w:rsidR="00C63502" w:rsidRDefault="00C63502" w:rsidP="00EC72CC">
      <w:pPr>
        <w:spacing w:after="0" w:line="360" w:lineRule="auto"/>
        <w:jc w:val="center"/>
        <w:rPr>
          <w:rFonts w:ascii="Arial" w:eastAsia="SimSun" w:hAnsi="Arial" w:cs="Arial"/>
          <w:b/>
          <w:bCs/>
          <w:color w:val="000000" w:themeColor="text1"/>
          <w:kern w:val="1"/>
          <w:sz w:val="32"/>
          <w:szCs w:val="32"/>
        </w:rPr>
      </w:pPr>
    </w:p>
    <w:p w:rsidR="00B64398" w:rsidRPr="002603EC" w:rsidRDefault="00B718C2" w:rsidP="00030F20">
      <w:pPr>
        <w:spacing w:after="0" w:line="360" w:lineRule="auto"/>
        <w:jc w:val="both"/>
        <w:rPr>
          <w:rFonts w:ascii="Arial" w:eastAsia="SimSun" w:hAnsi="Arial" w:cs="Arial"/>
          <w:b/>
          <w:color w:val="000000" w:themeColor="text1"/>
          <w:kern w:val="1"/>
        </w:rPr>
      </w:pPr>
      <w:r w:rsidRPr="002603EC">
        <w:rPr>
          <w:rFonts w:ascii="Arial" w:eastAsia="SimSun" w:hAnsi="Arial" w:cs="Arial"/>
          <w:b/>
          <w:color w:val="000000" w:themeColor="text1"/>
          <w:kern w:val="1"/>
        </w:rPr>
        <w:t xml:space="preserve">Praha </w:t>
      </w:r>
      <w:r w:rsidR="00F6617A">
        <w:rPr>
          <w:rFonts w:ascii="Arial" w:eastAsia="SimSun" w:hAnsi="Arial" w:cs="Arial"/>
          <w:b/>
          <w:color w:val="000000" w:themeColor="text1"/>
          <w:kern w:val="1"/>
        </w:rPr>
        <w:t>7</w:t>
      </w:r>
      <w:r w:rsidR="00122E6D">
        <w:rPr>
          <w:rFonts w:ascii="Arial" w:eastAsia="SimSun" w:hAnsi="Arial" w:cs="Arial"/>
          <w:b/>
          <w:color w:val="000000" w:themeColor="text1"/>
          <w:kern w:val="1"/>
        </w:rPr>
        <w:t xml:space="preserve">. </w:t>
      </w:r>
      <w:r w:rsidR="00F6617A">
        <w:rPr>
          <w:rFonts w:ascii="Arial" w:eastAsia="SimSun" w:hAnsi="Arial" w:cs="Arial"/>
          <w:b/>
          <w:color w:val="000000" w:themeColor="text1"/>
          <w:kern w:val="1"/>
        </w:rPr>
        <w:t>září</w:t>
      </w:r>
      <w:r w:rsidR="001D7988">
        <w:rPr>
          <w:rFonts w:ascii="Arial" w:eastAsia="SimSun" w:hAnsi="Arial" w:cs="Arial"/>
          <w:b/>
          <w:color w:val="000000" w:themeColor="text1"/>
          <w:kern w:val="1"/>
        </w:rPr>
        <w:t xml:space="preserve"> </w:t>
      </w:r>
      <w:r w:rsidR="00627790">
        <w:rPr>
          <w:rFonts w:ascii="Arial" w:eastAsia="SimSun" w:hAnsi="Arial" w:cs="Arial"/>
          <w:b/>
          <w:color w:val="000000" w:themeColor="text1"/>
          <w:kern w:val="1"/>
        </w:rPr>
        <w:t>–</w:t>
      </w:r>
      <w:r w:rsidR="00BF0311">
        <w:rPr>
          <w:rFonts w:ascii="Arial" w:eastAsia="SimSun" w:hAnsi="Arial" w:cs="Arial"/>
          <w:b/>
          <w:color w:val="000000" w:themeColor="text1"/>
          <w:kern w:val="1"/>
        </w:rPr>
        <w:t xml:space="preserve"> Hodnota stavebních zakázek vypsaných v červenci, letos poprvé překročila hodnotu deseti miliard korun. V meziročním srovnání prvních sedmi měsíců ale propadl o více než čtvrtinu jak počet, tak i objem vypsaných výběrových řízení. Mírný pokles byl zaznamenaný také v počtu a objemu ukončených soutěží. </w:t>
      </w:r>
      <w:r w:rsidR="00DC6643" w:rsidRPr="00DC6643">
        <w:rPr>
          <w:rFonts w:ascii="Arial" w:eastAsia="SimSun" w:hAnsi="Arial" w:cs="Arial"/>
          <w:b/>
          <w:color w:val="000000" w:themeColor="text1"/>
          <w:kern w:val="1"/>
        </w:rPr>
        <w:t xml:space="preserve">Vyplývá to z nejnovější analýzy zpracované analytickou společností CEEC Research na základě dat uveřejněných </w:t>
      </w:r>
      <w:r w:rsidR="00DB5326" w:rsidRPr="00DC6643">
        <w:rPr>
          <w:rFonts w:ascii="Arial" w:eastAsia="SimSun" w:hAnsi="Arial" w:cs="Arial"/>
          <w:b/>
          <w:color w:val="000000" w:themeColor="text1"/>
          <w:kern w:val="1"/>
        </w:rPr>
        <w:t>ve Věstníku veřejných zakázek</w:t>
      </w:r>
      <w:r w:rsidR="00DB5326">
        <w:rPr>
          <w:rFonts w:ascii="Arial" w:eastAsia="SimSun" w:hAnsi="Arial" w:cs="Arial"/>
          <w:b/>
          <w:color w:val="000000" w:themeColor="text1"/>
          <w:kern w:val="1"/>
        </w:rPr>
        <w:t xml:space="preserve"> </w:t>
      </w:r>
      <w:r w:rsidR="00DC6643" w:rsidRPr="00DC6643">
        <w:rPr>
          <w:rFonts w:ascii="Arial" w:eastAsia="SimSun" w:hAnsi="Arial" w:cs="Arial"/>
          <w:b/>
          <w:color w:val="000000" w:themeColor="text1"/>
          <w:kern w:val="1"/>
        </w:rPr>
        <w:t xml:space="preserve">na konci </w:t>
      </w:r>
      <w:r w:rsidR="00850157">
        <w:rPr>
          <w:rFonts w:ascii="Arial" w:eastAsia="SimSun" w:hAnsi="Arial" w:cs="Arial"/>
          <w:b/>
          <w:color w:val="000000" w:themeColor="text1"/>
          <w:kern w:val="1"/>
        </w:rPr>
        <w:t>července</w:t>
      </w:r>
      <w:r w:rsidR="000C7B62" w:rsidRPr="00DC6643">
        <w:rPr>
          <w:rFonts w:ascii="Arial" w:eastAsia="SimSun" w:hAnsi="Arial" w:cs="Arial"/>
          <w:b/>
          <w:color w:val="000000" w:themeColor="text1"/>
          <w:kern w:val="1"/>
        </w:rPr>
        <w:t xml:space="preserve"> </w:t>
      </w:r>
      <w:r w:rsidR="00DC6643" w:rsidRPr="00DC6643">
        <w:rPr>
          <w:rFonts w:ascii="Arial" w:eastAsia="SimSun" w:hAnsi="Arial" w:cs="Arial"/>
          <w:b/>
          <w:color w:val="000000" w:themeColor="text1"/>
          <w:kern w:val="1"/>
        </w:rPr>
        <w:t>2015</w:t>
      </w:r>
      <w:r w:rsidR="00DB5326">
        <w:rPr>
          <w:rFonts w:ascii="Arial" w:eastAsia="SimSun" w:hAnsi="Arial" w:cs="Arial"/>
          <w:b/>
          <w:color w:val="000000" w:themeColor="text1"/>
          <w:kern w:val="1"/>
        </w:rPr>
        <w:t>.</w:t>
      </w:r>
    </w:p>
    <w:p w:rsidR="009522FC" w:rsidRDefault="009522FC" w:rsidP="0054748B">
      <w:pPr>
        <w:spacing w:after="0" w:line="360" w:lineRule="auto"/>
        <w:jc w:val="both"/>
        <w:rPr>
          <w:rFonts w:ascii="Arial" w:hAnsi="Arial" w:cs="Arial"/>
          <w:color w:val="000000" w:themeColor="text1"/>
        </w:rPr>
      </w:pPr>
    </w:p>
    <w:p w:rsidR="00940D4B" w:rsidRPr="00F6617A" w:rsidRDefault="0029094B" w:rsidP="0029094B">
      <w:pPr>
        <w:spacing w:after="0" w:line="360" w:lineRule="auto"/>
        <w:jc w:val="both"/>
        <w:rPr>
          <w:rFonts w:ascii="Arial" w:hAnsi="Arial" w:cs="Arial"/>
          <w:b/>
          <w:i/>
          <w:color w:val="000000" w:themeColor="text1"/>
        </w:rPr>
      </w:pPr>
      <w:r>
        <w:rPr>
          <w:rFonts w:ascii="Arial" w:hAnsi="Arial" w:cs="Arial"/>
          <w:color w:val="000000" w:themeColor="text1"/>
        </w:rPr>
        <w:t>Veřejní investoři poprvé od prosince 2014 vypsali zakázky na stavební práce za více než deset miliard korun. Ve Věstníku veřejných zakázek našly stavební firmy 197 soutěží za 10,5 miliardy korun. Díky vysoké srovnávací základně července minulého roku byl ale zaznamenaný propad. V lednu až červnu letošního roku se průměrná hodnota zveřejněných výběrových řízení pohybovala kolem 8,8 miliard korun</w:t>
      </w:r>
      <w:r w:rsidR="00EB6ACF">
        <w:rPr>
          <w:rFonts w:ascii="Arial" w:hAnsi="Arial" w:cs="Arial"/>
          <w:color w:val="000000" w:themeColor="text1"/>
        </w:rPr>
        <w:t xml:space="preserve"> (v lednu až červenci to bylo 9,1 mld. Kč)</w:t>
      </w:r>
      <w:r>
        <w:rPr>
          <w:rFonts w:ascii="Arial" w:hAnsi="Arial" w:cs="Arial"/>
          <w:color w:val="000000" w:themeColor="text1"/>
        </w:rPr>
        <w:t xml:space="preserve">. </w:t>
      </w:r>
      <w:r w:rsidR="00F6617A" w:rsidRPr="00F6617A">
        <w:rPr>
          <w:rFonts w:ascii="Arial" w:hAnsi="Arial" w:cs="Arial"/>
          <w:i/>
          <w:color w:val="000000" w:themeColor="text1"/>
        </w:rPr>
        <w:t>„</w:t>
      </w:r>
      <w:r w:rsidR="003C0E99" w:rsidRPr="00F6617A">
        <w:rPr>
          <w:rFonts w:ascii="Arial" w:hAnsi="Arial" w:cs="Arial"/>
          <w:i/>
          <w:color w:val="000000" w:themeColor="text1"/>
        </w:rPr>
        <w:t>Tři velké zakázky vypsalo Ředitelství silnic a dálnic.</w:t>
      </w:r>
      <w:r w:rsidR="00D016CD" w:rsidRPr="00F6617A">
        <w:rPr>
          <w:rFonts w:ascii="Arial" w:hAnsi="Arial" w:cs="Arial"/>
          <w:i/>
          <w:color w:val="000000" w:themeColor="text1"/>
        </w:rPr>
        <w:t xml:space="preserve"> </w:t>
      </w:r>
      <w:r w:rsidR="00215C0D" w:rsidRPr="00F6617A">
        <w:rPr>
          <w:rFonts w:ascii="Arial" w:hAnsi="Arial" w:cs="Arial"/>
          <w:i/>
          <w:color w:val="000000" w:themeColor="text1"/>
        </w:rPr>
        <w:t xml:space="preserve">Dvě velké soutěže za celkem 4,8 miliardy korun vypsala společnost OKD. Královehradecký kraj připravil dostavbu a modernizaci Oblastní nemocnice Náchod </w:t>
      </w:r>
      <w:r w:rsidR="00F6617A" w:rsidRPr="00F6617A">
        <w:rPr>
          <w:rFonts w:ascii="Arial" w:hAnsi="Arial" w:cs="Arial"/>
          <w:i/>
          <w:color w:val="000000" w:themeColor="text1"/>
        </w:rPr>
        <w:t xml:space="preserve">za celkem 1,2 miliardy korun,“ </w:t>
      </w:r>
      <w:r w:rsidR="00F6617A">
        <w:rPr>
          <w:rFonts w:ascii="Arial" w:hAnsi="Arial" w:cs="Arial"/>
          <w:color w:val="000000" w:themeColor="text1"/>
        </w:rPr>
        <w:t xml:space="preserve">doplňuje </w:t>
      </w:r>
      <w:r w:rsidR="00F6617A" w:rsidRPr="00F6617A">
        <w:rPr>
          <w:rFonts w:ascii="Arial" w:hAnsi="Arial" w:cs="Arial"/>
          <w:b/>
          <w:i/>
          <w:color w:val="000000" w:themeColor="text1"/>
        </w:rPr>
        <w:t>Jiří Vacek, ředitel analytické společnosti CEEC Research.</w:t>
      </w:r>
    </w:p>
    <w:p w:rsidR="00EF37DB" w:rsidRDefault="00EF37DB" w:rsidP="0029094B">
      <w:pPr>
        <w:spacing w:after="0" w:line="360" w:lineRule="auto"/>
        <w:jc w:val="both"/>
        <w:rPr>
          <w:rFonts w:ascii="Arial" w:hAnsi="Arial" w:cs="Arial"/>
          <w:color w:val="000000" w:themeColor="text1"/>
        </w:rPr>
      </w:pPr>
    </w:p>
    <w:p w:rsidR="00EF37DB" w:rsidRDefault="00EF37DB" w:rsidP="0029094B">
      <w:pPr>
        <w:spacing w:after="0" w:line="360" w:lineRule="auto"/>
        <w:jc w:val="both"/>
        <w:rPr>
          <w:rFonts w:ascii="Arial" w:hAnsi="Arial" w:cs="Arial"/>
          <w:color w:val="000000" w:themeColor="text1"/>
        </w:rPr>
      </w:pPr>
      <w:r>
        <w:rPr>
          <w:rFonts w:ascii="Arial" w:hAnsi="Arial" w:cs="Arial"/>
          <w:color w:val="000000" w:themeColor="text1"/>
        </w:rPr>
        <w:t xml:space="preserve">Za prvních sedm měsíců letošního roku bylo vypsáno 1.609 výběrových řízení za celkem 63,4 miliardy korun. Ve srovnání se stejným obdobím loňského roku klesl o více než čtvrtinu počet i objem výběrových řízení a to o 27,9 procenta, respektive 27,7 procenta. Z těchto výběrových řízení bylo 5 procent </w:t>
      </w:r>
      <w:r w:rsidR="00966031">
        <w:rPr>
          <w:rFonts w:ascii="Arial" w:hAnsi="Arial" w:cs="Arial"/>
          <w:color w:val="000000" w:themeColor="text1"/>
        </w:rPr>
        <w:t xml:space="preserve">objemu </w:t>
      </w:r>
      <w:r>
        <w:rPr>
          <w:rFonts w:ascii="Arial" w:hAnsi="Arial" w:cs="Arial"/>
          <w:color w:val="000000" w:themeColor="text1"/>
        </w:rPr>
        <w:t>v hodnotě 3,4 miliardy zrušeno. Státní investoři zatím vybrali dodavatele na pětinu soutěží v předpokládané hodnotě 12,6 miliardy korun. Nabídky firem na jednotlivé realizace byly v průměru o 13 procent nižší a tak si rozdělí pouhých 10,9 miliardy korun.</w:t>
      </w:r>
    </w:p>
    <w:p w:rsidR="00EF37DB" w:rsidRDefault="00EF37DB" w:rsidP="0029094B">
      <w:pPr>
        <w:spacing w:after="0" w:line="360" w:lineRule="auto"/>
        <w:jc w:val="both"/>
        <w:rPr>
          <w:rFonts w:ascii="Arial" w:hAnsi="Arial" w:cs="Arial"/>
          <w:color w:val="000000" w:themeColor="text1"/>
        </w:rPr>
      </w:pPr>
    </w:p>
    <w:p w:rsidR="00EF37DB" w:rsidRPr="00EF37DB" w:rsidRDefault="00EF37DB" w:rsidP="00EF37DB">
      <w:pPr>
        <w:spacing w:after="0" w:line="240" w:lineRule="auto"/>
        <w:jc w:val="both"/>
        <w:rPr>
          <w:rFonts w:ascii="Arial" w:eastAsia="Times New Roman" w:hAnsi="Arial" w:cs="Times New Roman"/>
          <w:bCs/>
          <w:sz w:val="20"/>
          <w:szCs w:val="24"/>
          <w:lang w:eastAsia="cs-CZ"/>
        </w:rPr>
      </w:pPr>
      <w:r w:rsidRPr="00EF37DB">
        <w:rPr>
          <w:rFonts w:ascii="Arial" w:eastAsia="Times New Roman" w:hAnsi="Arial" w:cs="Times New Roman"/>
          <w:b/>
          <w:bCs/>
          <w:sz w:val="20"/>
          <w:szCs w:val="24"/>
          <w:lang w:eastAsia="cs-CZ"/>
        </w:rPr>
        <w:t>Meziroční změny oznámení o zakázce v letech 2014 až 2015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
        <w:gridCol w:w="1744"/>
        <w:gridCol w:w="1059"/>
        <w:gridCol w:w="1049"/>
        <w:gridCol w:w="1063"/>
        <w:gridCol w:w="1069"/>
        <w:gridCol w:w="1044"/>
        <w:gridCol w:w="1065"/>
      </w:tblGrid>
      <w:tr w:rsidR="00EF37DB" w:rsidRPr="00EF37DB" w:rsidTr="00F46ADF">
        <w:trPr>
          <w:cantSplit/>
          <w:trHeight w:val="284"/>
        </w:trPr>
        <w:tc>
          <w:tcPr>
            <w:tcW w:w="2694" w:type="dxa"/>
            <w:gridSpan w:val="2"/>
            <w:vMerge w:val="restart"/>
            <w:tcBorders>
              <w:top w:val="nil"/>
              <w:left w:val="nil"/>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Stavební zakázky</w:t>
            </w:r>
          </w:p>
        </w:tc>
        <w:tc>
          <w:tcPr>
            <w:tcW w:w="3223" w:type="dxa"/>
            <w:gridSpan w:val="3"/>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Počet</w:t>
            </w:r>
          </w:p>
        </w:tc>
        <w:tc>
          <w:tcPr>
            <w:tcW w:w="3223" w:type="dxa"/>
            <w:gridSpan w:val="3"/>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Hodnota</w:t>
            </w:r>
          </w:p>
        </w:tc>
      </w:tr>
      <w:tr w:rsidR="00EF37DB" w:rsidRPr="00EF37DB" w:rsidTr="00F46ADF">
        <w:trPr>
          <w:cantSplit/>
          <w:trHeight w:val="284"/>
        </w:trPr>
        <w:tc>
          <w:tcPr>
            <w:tcW w:w="2694" w:type="dxa"/>
            <w:gridSpan w:val="2"/>
            <w:vMerge/>
            <w:tcBorders>
              <w:left w:val="nil"/>
              <w:bottom w:val="single" w:sz="4" w:space="0" w:color="auto"/>
            </w:tcBorders>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p>
        </w:tc>
        <w:tc>
          <w:tcPr>
            <w:tcW w:w="1074" w:type="dxa"/>
            <w:tcBorders>
              <w:bottom w:val="single" w:sz="4" w:space="0" w:color="auto"/>
              <w:right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počet</w:t>
            </w:r>
          </w:p>
        </w:tc>
        <w:tc>
          <w:tcPr>
            <w:tcW w:w="2149" w:type="dxa"/>
            <w:gridSpan w:val="2"/>
            <w:tcBorders>
              <w:left w:val="single" w:sz="4" w:space="0" w:color="auto"/>
              <w:bottom w:val="single" w:sz="4" w:space="0" w:color="auto"/>
              <w:right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18"/>
                <w:lang w:eastAsia="cs-CZ"/>
              </w:rPr>
              <w:t>Meziroční změna v %</w:t>
            </w:r>
          </w:p>
        </w:tc>
        <w:tc>
          <w:tcPr>
            <w:tcW w:w="1074" w:type="dxa"/>
            <w:tcBorders>
              <w:left w:val="single" w:sz="4" w:space="0" w:color="auto"/>
              <w:bottom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mil. Kč</w:t>
            </w:r>
          </w:p>
        </w:tc>
        <w:tc>
          <w:tcPr>
            <w:tcW w:w="2149" w:type="dxa"/>
            <w:gridSpan w:val="2"/>
            <w:tcBorders>
              <w:left w:val="single" w:sz="4" w:space="0" w:color="auto"/>
              <w:bottom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18"/>
                <w:lang w:eastAsia="cs-CZ"/>
              </w:rPr>
              <w:t>Meziroční změna v %</w:t>
            </w:r>
          </w:p>
        </w:tc>
      </w:tr>
      <w:tr w:rsidR="00EF37DB" w:rsidRPr="00EF37DB" w:rsidTr="00F46ADF">
        <w:trPr>
          <w:cantSplit/>
          <w:trHeight w:val="284"/>
        </w:trPr>
        <w:tc>
          <w:tcPr>
            <w:tcW w:w="918" w:type="dxa"/>
            <w:vMerge w:val="restart"/>
            <w:tcBorders>
              <w:top w:val="single" w:sz="4" w:space="0" w:color="auto"/>
            </w:tcBorders>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r w:rsidRPr="00EF37DB">
              <w:rPr>
                <w:rFonts w:ascii="Arial" w:eastAsia="Times New Roman" w:hAnsi="Arial" w:cs="Arial"/>
                <w:sz w:val="18"/>
                <w:szCs w:val="16"/>
                <w:lang w:eastAsia="cs-CZ"/>
              </w:rPr>
              <w:t>2014</w:t>
            </w:r>
          </w:p>
        </w:tc>
        <w:tc>
          <w:tcPr>
            <w:tcW w:w="1776" w:type="dxa"/>
            <w:tcBorders>
              <w:top w:val="single" w:sz="4" w:space="0" w:color="auto"/>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1. čtvrtletí</w:t>
            </w:r>
          </w:p>
        </w:tc>
        <w:tc>
          <w:tcPr>
            <w:tcW w:w="1074" w:type="dxa"/>
            <w:tcBorders>
              <w:top w:val="single" w:sz="4" w:space="0" w:color="auto"/>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773</w:t>
            </w:r>
          </w:p>
        </w:tc>
        <w:tc>
          <w:tcPr>
            <w:tcW w:w="1074" w:type="dxa"/>
            <w:tcBorders>
              <w:top w:val="single" w:sz="4" w:space="0" w:color="auto"/>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+50,4</w:t>
            </w:r>
          </w:p>
        </w:tc>
        <w:tc>
          <w:tcPr>
            <w:tcW w:w="1074" w:type="dxa"/>
            <w:tcBorders>
              <w:top w:val="single" w:sz="4" w:space="0" w:color="auto"/>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27 637</w:t>
            </w:r>
          </w:p>
        </w:tc>
        <w:tc>
          <w:tcPr>
            <w:tcW w:w="1074" w:type="dxa"/>
            <w:tcBorders>
              <w:top w:val="single" w:sz="4" w:space="0" w:color="auto"/>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+39,2</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nil"/>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2. čtvrtletí</w:t>
            </w:r>
          </w:p>
        </w:tc>
        <w:tc>
          <w:tcPr>
            <w:tcW w:w="1074" w:type="dxa"/>
            <w:tcBorders>
              <w:top w:val="nil"/>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1 104</w:t>
            </w:r>
          </w:p>
        </w:tc>
        <w:tc>
          <w:tcPr>
            <w:tcW w:w="1074" w:type="dxa"/>
            <w:tcBorders>
              <w:top w:val="nil"/>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nil"/>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+30,5</w:t>
            </w:r>
          </w:p>
        </w:tc>
        <w:tc>
          <w:tcPr>
            <w:tcW w:w="1074" w:type="dxa"/>
            <w:tcBorders>
              <w:top w:val="nil"/>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36 193</w:t>
            </w:r>
          </w:p>
        </w:tc>
        <w:tc>
          <w:tcPr>
            <w:tcW w:w="1074" w:type="dxa"/>
            <w:tcBorders>
              <w:top w:val="nil"/>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nil"/>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+21,5</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nil"/>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3. čtvrtletí</w:t>
            </w:r>
          </w:p>
        </w:tc>
        <w:tc>
          <w:tcPr>
            <w:tcW w:w="1074" w:type="dxa"/>
            <w:tcBorders>
              <w:top w:val="nil"/>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913</w:t>
            </w:r>
          </w:p>
        </w:tc>
        <w:tc>
          <w:tcPr>
            <w:tcW w:w="1074" w:type="dxa"/>
            <w:tcBorders>
              <w:top w:val="nil"/>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nil"/>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+25,6</w:t>
            </w:r>
          </w:p>
        </w:tc>
        <w:tc>
          <w:tcPr>
            <w:tcW w:w="1074" w:type="dxa"/>
            <w:tcBorders>
              <w:top w:val="nil"/>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42 090</w:t>
            </w:r>
          </w:p>
        </w:tc>
        <w:tc>
          <w:tcPr>
            <w:tcW w:w="1074" w:type="dxa"/>
            <w:tcBorders>
              <w:top w:val="nil"/>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nil"/>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+43,5</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nil"/>
              <w:bottom w:val="single" w:sz="4" w:space="0" w:color="auto"/>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4. čtvrtletí</w:t>
            </w:r>
          </w:p>
        </w:tc>
        <w:tc>
          <w:tcPr>
            <w:tcW w:w="1074" w:type="dxa"/>
            <w:tcBorders>
              <w:top w:val="nil"/>
              <w:bottom w:val="single" w:sz="4" w:space="0" w:color="auto"/>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643</w:t>
            </w:r>
          </w:p>
        </w:tc>
        <w:tc>
          <w:tcPr>
            <w:tcW w:w="1074" w:type="dxa"/>
            <w:tcBorders>
              <w:top w:val="nil"/>
              <w:left w:val="single" w:sz="4" w:space="0" w:color="auto"/>
              <w:bottom w:val="single" w:sz="4" w:space="0" w:color="auto"/>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
                <w:bCs/>
                <w:color w:val="FF0000"/>
                <w:sz w:val="28"/>
                <w:szCs w:val="28"/>
                <w:lang w:eastAsia="cs-CZ"/>
              </w:rPr>
              <w:sym w:font="Wingdings 3" w:char="F0C8"/>
            </w:r>
          </w:p>
        </w:tc>
        <w:tc>
          <w:tcPr>
            <w:tcW w:w="1075" w:type="dxa"/>
            <w:tcBorders>
              <w:top w:val="nil"/>
              <w:left w:val="nil"/>
              <w:bottom w:val="single" w:sz="4" w:space="0" w:color="auto"/>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-21,4</w:t>
            </w:r>
          </w:p>
        </w:tc>
        <w:tc>
          <w:tcPr>
            <w:tcW w:w="1074" w:type="dxa"/>
            <w:tcBorders>
              <w:top w:val="nil"/>
              <w:left w:val="single" w:sz="4" w:space="0" w:color="auto"/>
              <w:bottom w:val="single" w:sz="4" w:space="0" w:color="auto"/>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27 894</w:t>
            </w:r>
          </w:p>
        </w:tc>
        <w:tc>
          <w:tcPr>
            <w:tcW w:w="1074" w:type="dxa"/>
            <w:tcBorders>
              <w:top w:val="nil"/>
              <w:left w:val="single" w:sz="4" w:space="0" w:color="auto"/>
              <w:bottom w:val="single" w:sz="4" w:space="0" w:color="auto"/>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
                <w:bCs/>
                <w:color w:val="FF0000"/>
                <w:sz w:val="28"/>
                <w:szCs w:val="28"/>
                <w:lang w:eastAsia="cs-CZ"/>
              </w:rPr>
              <w:sym w:font="Wingdings 3" w:char="F0C8"/>
            </w:r>
          </w:p>
        </w:tc>
        <w:tc>
          <w:tcPr>
            <w:tcW w:w="1075" w:type="dxa"/>
            <w:tcBorders>
              <w:top w:val="nil"/>
              <w:left w:val="nil"/>
              <w:bottom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-39,9</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single" w:sz="4" w:space="0" w:color="auto"/>
              <w:bottom w:val="single" w:sz="4" w:space="0" w:color="auto"/>
            </w:tcBorders>
            <w:vAlign w:val="center"/>
          </w:tcPr>
          <w:p w:rsidR="00EF37DB" w:rsidRPr="00EF37DB" w:rsidRDefault="00EF37DB" w:rsidP="00EF37DB">
            <w:pPr>
              <w:spacing w:after="0" w:line="240" w:lineRule="auto"/>
              <w:rPr>
                <w:rFonts w:ascii="Arial" w:eastAsia="Times New Roman" w:hAnsi="Arial" w:cs="Times New Roman"/>
                <w:b/>
                <w:bCs/>
                <w:sz w:val="18"/>
                <w:szCs w:val="24"/>
                <w:lang w:eastAsia="cs-CZ"/>
              </w:rPr>
            </w:pPr>
            <w:r w:rsidRPr="00EF37DB">
              <w:rPr>
                <w:rFonts w:ascii="Arial" w:eastAsia="Times New Roman" w:hAnsi="Arial" w:cs="Arial"/>
                <w:b/>
                <w:bCs/>
                <w:sz w:val="18"/>
                <w:szCs w:val="16"/>
                <w:lang w:eastAsia="cs-CZ"/>
              </w:rPr>
              <w:t>Rok</w:t>
            </w:r>
          </w:p>
        </w:tc>
        <w:tc>
          <w:tcPr>
            <w:tcW w:w="1074" w:type="dxa"/>
            <w:tcBorders>
              <w:top w:val="single" w:sz="4" w:space="0" w:color="auto"/>
              <w:bottom w:val="single" w:sz="4" w:space="0" w:color="auto"/>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3 433</w:t>
            </w:r>
          </w:p>
        </w:tc>
        <w:tc>
          <w:tcPr>
            <w:tcW w:w="1074" w:type="dxa"/>
            <w:tcBorders>
              <w:top w:val="single" w:sz="4" w:space="0" w:color="auto"/>
              <w:left w:val="single" w:sz="4" w:space="0" w:color="auto"/>
              <w:bottom w:val="single" w:sz="4" w:space="0" w:color="auto"/>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+18,2</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133 814</w:t>
            </w:r>
          </w:p>
        </w:tc>
        <w:tc>
          <w:tcPr>
            <w:tcW w:w="1074" w:type="dxa"/>
            <w:tcBorders>
              <w:top w:val="single" w:sz="4" w:space="0" w:color="auto"/>
              <w:left w:val="single" w:sz="4" w:space="0" w:color="auto"/>
              <w:bottom w:val="single" w:sz="4" w:space="0" w:color="auto"/>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+6,7</w:t>
            </w:r>
          </w:p>
        </w:tc>
      </w:tr>
      <w:tr w:rsidR="00EF37DB" w:rsidRPr="00EF37DB" w:rsidTr="00F46ADF">
        <w:trPr>
          <w:cantSplit/>
          <w:trHeight w:val="284"/>
        </w:trPr>
        <w:tc>
          <w:tcPr>
            <w:tcW w:w="918" w:type="dxa"/>
            <w:vMerge w:val="restart"/>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r w:rsidRPr="00EF37DB">
              <w:rPr>
                <w:rFonts w:ascii="Arial" w:eastAsia="Times New Roman" w:hAnsi="Arial" w:cs="Arial"/>
                <w:sz w:val="18"/>
                <w:szCs w:val="16"/>
                <w:lang w:eastAsia="cs-CZ"/>
              </w:rPr>
              <w:t>2015</w:t>
            </w:r>
          </w:p>
        </w:tc>
        <w:tc>
          <w:tcPr>
            <w:tcW w:w="1776" w:type="dxa"/>
            <w:tcBorders>
              <w:top w:val="single" w:sz="4" w:space="0" w:color="auto"/>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1. čtvrtletí</w:t>
            </w:r>
          </w:p>
        </w:tc>
        <w:tc>
          <w:tcPr>
            <w:tcW w:w="1074" w:type="dxa"/>
            <w:tcBorders>
              <w:top w:val="single" w:sz="4" w:space="0" w:color="auto"/>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674</w:t>
            </w:r>
          </w:p>
        </w:tc>
        <w:tc>
          <w:tcPr>
            <w:tcW w:w="1074" w:type="dxa"/>
            <w:tcBorders>
              <w:top w:val="single" w:sz="4" w:space="0" w:color="auto"/>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single" w:sz="4" w:space="0" w:color="auto"/>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-12,8</w:t>
            </w:r>
          </w:p>
        </w:tc>
        <w:tc>
          <w:tcPr>
            <w:tcW w:w="1074" w:type="dxa"/>
            <w:tcBorders>
              <w:top w:val="single" w:sz="4" w:space="0" w:color="auto"/>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26 985</w:t>
            </w:r>
          </w:p>
        </w:tc>
        <w:tc>
          <w:tcPr>
            <w:tcW w:w="1074" w:type="dxa"/>
            <w:tcBorders>
              <w:top w:val="single" w:sz="4" w:space="0" w:color="auto"/>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single" w:sz="4" w:space="0" w:color="auto"/>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-2,4</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p>
        </w:tc>
        <w:tc>
          <w:tcPr>
            <w:tcW w:w="1776" w:type="dxa"/>
            <w:tcBorders>
              <w:top w:val="nil"/>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2. čtvrtletí</w:t>
            </w:r>
          </w:p>
        </w:tc>
        <w:tc>
          <w:tcPr>
            <w:tcW w:w="1074" w:type="dxa"/>
            <w:tcBorders>
              <w:top w:val="nil"/>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738</w:t>
            </w:r>
          </w:p>
        </w:tc>
        <w:tc>
          <w:tcPr>
            <w:tcW w:w="1074" w:type="dxa"/>
            <w:tcBorders>
              <w:top w:val="nil"/>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nil"/>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-33,2</w:t>
            </w:r>
          </w:p>
        </w:tc>
        <w:tc>
          <w:tcPr>
            <w:tcW w:w="1074" w:type="dxa"/>
            <w:tcBorders>
              <w:top w:val="nil"/>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25 877</w:t>
            </w:r>
          </w:p>
        </w:tc>
        <w:tc>
          <w:tcPr>
            <w:tcW w:w="1074" w:type="dxa"/>
            <w:tcBorders>
              <w:top w:val="nil"/>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nil"/>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-28,5</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p>
        </w:tc>
        <w:tc>
          <w:tcPr>
            <w:tcW w:w="1776" w:type="dxa"/>
            <w:tcBorders>
              <w:top w:val="single" w:sz="4" w:space="0" w:color="auto"/>
              <w:bottom w:val="single" w:sz="4" w:space="0" w:color="auto"/>
            </w:tcBorders>
            <w:vAlign w:val="center"/>
          </w:tcPr>
          <w:p w:rsidR="00EF37DB" w:rsidRPr="00EF37DB" w:rsidRDefault="00EF37DB" w:rsidP="00EF37DB">
            <w:pPr>
              <w:spacing w:after="0" w:line="240" w:lineRule="auto"/>
              <w:rPr>
                <w:rFonts w:ascii="Arial" w:eastAsia="Times New Roman" w:hAnsi="Arial" w:cs="Times New Roman"/>
                <w:b/>
                <w:bCs/>
                <w:sz w:val="18"/>
                <w:szCs w:val="24"/>
                <w:lang w:eastAsia="cs-CZ"/>
              </w:rPr>
            </w:pPr>
            <w:r w:rsidRPr="00EF37DB">
              <w:rPr>
                <w:rFonts w:ascii="Arial" w:eastAsia="Times New Roman" w:hAnsi="Arial" w:cs="Arial"/>
                <w:b/>
                <w:bCs/>
                <w:sz w:val="18"/>
                <w:szCs w:val="16"/>
                <w:lang w:eastAsia="cs-CZ"/>
              </w:rPr>
              <w:t>Leden až červenec</w:t>
            </w:r>
          </w:p>
        </w:tc>
        <w:tc>
          <w:tcPr>
            <w:tcW w:w="1074" w:type="dxa"/>
            <w:tcBorders>
              <w:top w:val="single" w:sz="4" w:space="0" w:color="auto"/>
              <w:bottom w:val="single" w:sz="4" w:space="0" w:color="auto"/>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1 609</w:t>
            </w:r>
          </w:p>
        </w:tc>
        <w:tc>
          <w:tcPr>
            <w:tcW w:w="1074" w:type="dxa"/>
            <w:tcBorders>
              <w:top w:val="single" w:sz="4" w:space="0" w:color="auto"/>
              <w:left w:val="single" w:sz="4" w:space="0" w:color="auto"/>
              <w:bottom w:val="single" w:sz="4" w:space="0" w:color="auto"/>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
                <w:bCs/>
                <w:color w:val="FF0000"/>
                <w:sz w:val="28"/>
                <w:szCs w:val="28"/>
                <w:lang w:eastAsia="cs-CZ"/>
              </w:rPr>
              <w:sym w:font="Wingdings 3" w:char="F0C8"/>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-27,9</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63 357</w:t>
            </w:r>
          </w:p>
        </w:tc>
        <w:tc>
          <w:tcPr>
            <w:tcW w:w="1074" w:type="dxa"/>
            <w:tcBorders>
              <w:top w:val="single" w:sz="4" w:space="0" w:color="auto"/>
              <w:left w:val="single" w:sz="4" w:space="0" w:color="auto"/>
              <w:bottom w:val="single" w:sz="4" w:space="0" w:color="auto"/>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single" w:sz="4" w:space="0" w:color="auto"/>
              <w:left w:val="nil"/>
              <w:bottom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-27,7</w:t>
            </w:r>
          </w:p>
        </w:tc>
      </w:tr>
    </w:tbl>
    <w:p w:rsidR="00EF37DB" w:rsidRPr="00EF37DB" w:rsidRDefault="00EF37DB" w:rsidP="00EF37DB">
      <w:pPr>
        <w:spacing w:after="0" w:line="240" w:lineRule="auto"/>
        <w:jc w:val="both"/>
        <w:rPr>
          <w:rFonts w:ascii="Arial" w:eastAsia="Times New Roman" w:hAnsi="Arial" w:cs="Times New Roman"/>
          <w:bCs/>
          <w:sz w:val="20"/>
          <w:szCs w:val="24"/>
          <w:u w:val="single"/>
          <w:lang w:eastAsia="cs-CZ"/>
        </w:rPr>
      </w:pPr>
      <w:r w:rsidRPr="00EF37DB">
        <w:rPr>
          <w:rFonts w:ascii="Arial" w:eastAsia="Times New Roman" w:hAnsi="Arial" w:cs="Times New Roman"/>
          <w:bCs/>
          <w:sz w:val="16"/>
          <w:szCs w:val="16"/>
          <w:lang w:eastAsia="cs-CZ"/>
        </w:rPr>
        <w:t>Zdroj: Věstník veřejných zakázek, výpočty CEEC Research</w:t>
      </w:r>
    </w:p>
    <w:p w:rsidR="009B0A00" w:rsidRDefault="009B0A00" w:rsidP="00C63502">
      <w:pPr>
        <w:spacing w:after="0" w:line="360" w:lineRule="auto"/>
        <w:jc w:val="both"/>
        <w:rPr>
          <w:rFonts w:ascii="Arial" w:hAnsi="Arial" w:cs="Arial"/>
          <w:color w:val="000000" w:themeColor="text1"/>
        </w:rPr>
      </w:pPr>
    </w:p>
    <w:p w:rsidR="009B0A00" w:rsidRDefault="009B0A00" w:rsidP="00C63502">
      <w:pPr>
        <w:spacing w:after="0" w:line="360" w:lineRule="auto"/>
        <w:jc w:val="both"/>
        <w:rPr>
          <w:rFonts w:ascii="Arial" w:hAnsi="Arial" w:cs="Arial"/>
          <w:color w:val="000000" w:themeColor="text1"/>
        </w:rPr>
      </w:pPr>
    </w:p>
    <w:p w:rsidR="00EF37DB" w:rsidRPr="00F6617A" w:rsidRDefault="00EF37DB" w:rsidP="00C63502">
      <w:pPr>
        <w:spacing w:after="0" w:line="360" w:lineRule="auto"/>
        <w:jc w:val="both"/>
        <w:rPr>
          <w:rFonts w:ascii="Arial" w:hAnsi="Arial" w:cs="Arial"/>
          <w:color w:val="000000" w:themeColor="text1"/>
        </w:rPr>
      </w:pPr>
      <w:r>
        <w:rPr>
          <w:rFonts w:ascii="Arial" w:hAnsi="Arial" w:cs="Arial"/>
          <w:color w:val="000000" w:themeColor="text1"/>
        </w:rPr>
        <w:t>Stejně jako vypsané zakázky, měly klesající tendenci také zakázky zadané. Propad nebyl tak markantní, přesto k němu došlo. V prvních sedmi měsících letošního roku bylo ukončeno 3.172 výběrových řízení za celkem 68 miliard korun, tedy o 2,6 procenta méně co se týká počtu a o 5,4 procenta méně co se týká objemu.</w:t>
      </w:r>
      <w:r w:rsidR="00EB6ACF">
        <w:rPr>
          <w:rFonts w:ascii="Arial" w:hAnsi="Arial" w:cs="Arial"/>
          <w:color w:val="000000" w:themeColor="text1"/>
        </w:rPr>
        <w:t xml:space="preserve"> Data budou ještě aktualizována.</w:t>
      </w:r>
      <w:r w:rsidR="00F6617A">
        <w:rPr>
          <w:rFonts w:ascii="Arial" w:hAnsi="Arial" w:cs="Arial"/>
          <w:color w:val="000000" w:themeColor="text1"/>
        </w:rPr>
        <w:t xml:space="preserve"> </w:t>
      </w:r>
      <w:r w:rsidR="00F6617A" w:rsidRPr="00F6617A">
        <w:rPr>
          <w:rFonts w:ascii="Arial" w:hAnsi="Arial" w:cs="Arial"/>
          <w:i/>
          <w:color w:val="000000" w:themeColor="text1"/>
        </w:rPr>
        <w:t>„Výběrová řízení jsou zdlouhavá - často až neúměrně k hodnotě zakázek, které soutěžíme. V poslední době se navíc ještě zpřísnila kontrola podkladů dodaných investorům. To by bylo v pořádku, pokud by se jednalo o kontroly technických návrhů nebo rozsahů prací. Převážně se ale hledí na administrativní správnost. S trochou nadsá</w:t>
      </w:r>
      <w:bookmarkStart w:id="0" w:name="_GoBack"/>
      <w:bookmarkEnd w:id="0"/>
      <w:r w:rsidR="00F6617A" w:rsidRPr="00F6617A">
        <w:rPr>
          <w:rFonts w:ascii="Arial" w:hAnsi="Arial" w:cs="Arial"/>
          <w:i/>
          <w:color w:val="000000" w:themeColor="text1"/>
        </w:rPr>
        <w:t>zky se potýkáme s kontrolou správného um</w:t>
      </w:r>
      <w:r w:rsidR="00F6617A">
        <w:rPr>
          <w:rFonts w:ascii="Arial" w:hAnsi="Arial" w:cs="Arial"/>
          <w:i/>
          <w:color w:val="000000" w:themeColor="text1"/>
        </w:rPr>
        <w:t>ístění razítek na listu stránky,</w:t>
      </w:r>
      <w:r w:rsidR="00F6617A" w:rsidRPr="00F6617A">
        <w:rPr>
          <w:rFonts w:ascii="Arial" w:hAnsi="Arial" w:cs="Arial"/>
          <w:i/>
          <w:color w:val="000000" w:themeColor="text1"/>
        </w:rPr>
        <w:t>“</w:t>
      </w:r>
      <w:r w:rsidR="00F6617A">
        <w:rPr>
          <w:rFonts w:ascii="Arial" w:hAnsi="Arial" w:cs="Arial"/>
          <w:color w:val="000000" w:themeColor="text1"/>
        </w:rPr>
        <w:t xml:space="preserve"> konstatuje </w:t>
      </w:r>
      <w:r w:rsidR="00F6617A" w:rsidRPr="00F6617A">
        <w:rPr>
          <w:rFonts w:ascii="Arial" w:hAnsi="Arial" w:cs="Arial"/>
          <w:b/>
          <w:i/>
          <w:color w:val="000000" w:themeColor="text1"/>
        </w:rPr>
        <w:t>Vladimír Steiner, technický ředitel společnosti Schindler CZ.</w:t>
      </w:r>
    </w:p>
    <w:p w:rsidR="00EF37DB" w:rsidRDefault="00EF37DB" w:rsidP="00C63502">
      <w:pPr>
        <w:spacing w:after="0" w:line="360" w:lineRule="auto"/>
        <w:jc w:val="both"/>
        <w:rPr>
          <w:rFonts w:ascii="Arial" w:hAnsi="Arial" w:cs="Arial"/>
          <w:color w:val="000000" w:themeColor="text1"/>
        </w:rPr>
      </w:pPr>
    </w:p>
    <w:p w:rsidR="00EF37DB" w:rsidRPr="00EF37DB" w:rsidRDefault="00EF37DB" w:rsidP="00EF37DB">
      <w:pPr>
        <w:spacing w:after="0" w:line="240" w:lineRule="auto"/>
        <w:jc w:val="both"/>
        <w:rPr>
          <w:rFonts w:ascii="Arial" w:eastAsia="Times New Roman" w:hAnsi="Arial" w:cs="Times New Roman"/>
          <w:b/>
          <w:bCs/>
          <w:sz w:val="20"/>
          <w:szCs w:val="24"/>
          <w:lang w:eastAsia="cs-CZ"/>
        </w:rPr>
      </w:pPr>
      <w:r w:rsidRPr="00EF37DB">
        <w:rPr>
          <w:rFonts w:ascii="Arial" w:eastAsia="Times New Roman" w:hAnsi="Arial" w:cs="Times New Roman"/>
          <w:b/>
          <w:bCs/>
          <w:sz w:val="20"/>
          <w:szCs w:val="24"/>
          <w:lang w:eastAsia="cs-CZ"/>
        </w:rPr>
        <w:t>Meziroční změny počtu oznámení o zadání zakázky v letech 2014 až 2015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1746"/>
        <w:gridCol w:w="1059"/>
        <w:gridCol w:w="1050"/>
        <w:gridCol w:w="1063"/>
        <w:gridCol w:w="1058"/>
        <w:gridCol w:w="1046"/>
        <w:gridCol w:w="1069"/>
      </w:tblGrid>
      <w:tr w:rsidR="00EF37DB" w:rsidRPr="00EF37DB" w:rsidTr="00F46ADF">
        <w:trPr>
          <w:cantSplit/>
          <w:trHeight w:val="284"/>
        </w:trPr>
        <w:tc>
          <w:tcPr>
            <w:tcW w:w="2694" w:type="dxa"/>
            <w:gridSpan w:val="2"/>
            <w:vMerge w:val="restart"/>
            <w:tcBorders>
              <w:top w:val="nil"/>
              <w:left w:val="nil"/>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Stavební zakázky</w:t>
            </w:r>
          </w:p>
        </w:tc>
        <w:tc>
          <w:tcPr>
            <w:tcW w:w="3223" w:type="dxa"/>
            <w:gridSpan w:val="3"/>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Počet</w:t>
            </w:r>
          </w:p>
        </w:tc>
        <w:tc>
          <w:tcPr>
            <w:tcW w:w="3223" w:type="dxa"/>
            <w:gridSpan w:val="3"/>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Hodnota</w:t>
            </w:r>
          </w:p>
        </w:tc>
      </w:tr>
      <w:tr w:rsidR="00EF37DB" w:rsidRPr="00EF37DB" w:rsidTr="00F46ADF">
        <w:trPr>
          <w:cantSplit/>
          <w:trHeight w:val="284"/>
        </w:trPr>
        <w:tc>
          <w:tcPr>
            <w:tcW w:w="2694" w:type="dxa"/>
            <w:gridSpan w:val="2"/>
            <w:vMerge/>
            <w:tcBorders>
              <w:left w:val="nil"/>
              <w:bottom w:val="single" w:sz="4" w:space="0" w:color="auto"/>
            </w:tcBorders>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p>
        </w:tc>
        <w:tc>
          <w:tcPr>
            <w:tcW w:w="1074" w:type="dxa"/>
            <w:tcBorders>
              <w:bottom w:val="single" w:sz="4" w:space="0" w:color="auto"/>
              <w:right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počet</w:t>
            </w:r>
          </w:p>
        </w:tc>
        <w:tc>
          <w:tcPr>
            <w:tcW w:w="2149" w:type="dxa"/>
            <w:gridSpan w:val="2"/>
            <w:tcBorders>
              <w:left w:val="single" w:sz="4" w:space="0" w:color="auto"/>
              <w:bottom w:val="single" w:sz="4" w:space="0" w:color="auto"/>
              <w:right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18"/>
                <w:lang w:eastAsia="cs-CZ"/>
              </w:rPr>
              <w:t>Meziroční změna v %</w:t>
            </w:r>
          </w:p>
        </w:tc>
        <w:tc>
          <w:tcPr>
            <w:tcW w:w="1074" w:type="dxa"/>
            <w:tcBorders>
              <w:left w:val="single" w:sz="4" w:space="0" w:color="auto"/>
              <w:bottom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mil. Kč</w:t>
            </w:r>
          </w:p>
        </w:tc>
        <w:tc>
          <w:tcPr>
            <w:tcW w:w="2149" w:type="dxa"/>
            <w:gridSpan w:val="2"/>
            <w:tcBorders>
              <w:left w:val="single" w:sz="4" w:space="0" w:color="auto"/>
              <w:bottom w:val="single" w:sz="4" w:space="0" w:color="auto"/>
            </w:tcBorders>
            <w:vAlign w:val="center"/>
          </w:tcPr>
          <w:p w:rsidR="00EF37DB" w:rsidRPr="00EF37DB" w:rsidRDefault="00EF37DB" w:rsidP="00EF37DB">
            <w:pPr>
              <w:spacing w:after="0" w:line="240" w:lineRule="auto"/>
              <w:jc w:val="center"/>
              <w:rPr>
                <w:rFonts w:ascii="Arial" w:eastAsia="Times New Roman" w:hAnsi="Arial" w:cs="Times New Roman"/>
                <w:bCs/>
                <w:sz w:val="18"/>
                <w:szCs w:val="24"/>
                <w:lang w:eastAsia="cs-CZ"/>
              </w:rPr>
            </w:pPr>
            <w:r w:rsidRPr="00EF37DB">
              <w:rPr>
                <w:rFonts w:ascii="Arial" w:eastAsia="Times New Roman" w:hAnsi="Arial" w:cs="Times New Roman"/>
                <w:bCs/>
                <w:sz w:val="18"/>
                <w:szCs w:val="18"/>
                <w:lang w:eastAsia="cs-CZ"/>
              </w:rPr>
              <w:t>Meziroční změna v %</w:t>
            </w:r>
          </w:p>
        </w:tc>
      </w:tr>
      <w:tr w:rsidR="00EF37DB" w:rsidRPr="00EF37DB" w:rsidTr="00F46ADF">
        <w:trPr>
          <w:cantSplit/>
          <w:trHeight w:val="284"/>
        </w:trPr>
        <w:tc>
          <w:tcPr>
            <w:tcW w:w="918" w:type="dxa"/>
            <w:vMerge w:val="restart"/>
            <w:tcBorders>
              <w:top w:val="single" w:sz="4" w:space="0" w:color="auto"/>
            </w:tcBorders>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r w:rsidRPr="00EF37DB">
              <w:rPr>
                <w:rFonts w:ascii="Arial" w:eastAsia="Times New Roman" w:hAnsi="Arial" w:cs="Arial"/>
                <w:sz w:val="18"/>
                <w:szCs w:val="16"/>
                <w:lang w:eastAsia="cs-CZ"/>
              </w:rPr>
              <w:t>2014</w:t>
            </w:r>
          </w:p>
        </w:tc>
        <w:tc>
          <w:tcPr>
            <w:tcW w:w="1776" w:type="dxa"/>
            <w:tcBorders>
              <w:top w:val="single" w:sz="4" w:space="0" w:color="auto"/>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1. čtvrtletí</w:t>
            </w:r>
          </w:p>
        </w:tc>
        <w:tc>
          <w:tcPr>
            <w:tcW w:w="1074" w:type="dxa"/>
            <w:tcBorders>
              <w:top w:val="single" w:sz="4" w:space="0" w:color="auto"/>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970</w:t>
            </w:r>
          </w:p>
        </w:tc>
        <w:tc>
          <w:tcPr>
            <w:tcW w:w="1074" w:type="dxa"/>
            <w:tcBorders>
              <w:top w:val="single" w:sz="4" w:space="0" w:color="auto"/>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+78,0</w:t>
            </w:r>
          </w:p>
        </w:tc>
        <w:tc>
          <w:tcPr>
            <w:tcW w:w="1074" w:type="dxa"/>
            <w:tcBorders>
              <w:top w:val="single" w:sz="4" w:space="0" w:color="auto"/>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23 081</w:t>
            </w:r>
          </w:p>
        </w:tc>
        <w:tc>
          <w:tcPr>
            <w:tcW w:w="1074" w:type="dxa"/>
            <w:tcBorders>
              <w:top w:val="single" w:sz="4" w:space="0" w:color="auto"/>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+103,3</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nil"/>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2. čtvrtletí</w:t>
            </w:r>
          </w:p>
        </w:tc>
        <w:tc>
          <w:tcPr>
            <w:tcW w:w="1074" w:type="dxa"/>
            <w:tcBorders>
              <w:top w:val="nil"/>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1 632</w:t>
            </w:r>
          </w:p>
        </w:tc>
        <w:tc>
          <w:tcPr>
            <w:tcW w:w="1074" w:type="dxa"/>
            <w:tcBorders>
              <w:top w:val="nil"/>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nil"/>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-1,2</w:t>
            </w:r>
          </w:p>
        </w:tc>
        <w:tc>
          <w:tcPr>
            <w:tcW w:w="1074" w:type="dxa"/>
            <w:tcBorders>
              <w:top w:val="nil"/>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32 580</w:t>
            </w:r>
          </w:p>
        </w:tc>
        <w:tc>
          <w:tcPr>
            <w:tcW w:w="1074" w:type="dxa"/>
            <w:tcBorders>
              <w:top w:val="nil"/>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nil"/>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+26,9</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nil"/>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3. čtvrtletí</w:t>
            </w:r>
          </w:p>
        </w:tc>
        <w:tc>
          <w:tcPr>
            <w:tcW w:w="1074" w:type="dxa"/>
            <w:tcBorders>
              <w:top w:val="nil"/>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1 716</w:t>
            </w:r>
          </w:p>
        </w:tc>
        <w:tc>
          <w:tcPr>
            <w:tcW w:w="1074" w:type="dxa"/>
            <w:tcBorders>
              <w:top w:val="nil"/>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nil"/>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-26,7</w:t>
            </w:r>
          </w:p>
        </w:tc>
        <w:tc>
          <w:tcPr>
            <w:tcW w:w="1074" w:type="dxa"/>
            <w:tcBorders>
              <w:top w:val="nil"/>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33 493</w:t>
            </w:r>
          </w:p>
        </w:tc>
        <w:tc>
          <w:tcPr>
            <w:tcW w:w="1074" w:type="dxa"/>
            <w:tcBorders>
              <w:top w:val="nil"/>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nil"/>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-5,0</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nil"/>
              <w:bottom w:val="single" w:sz="4" w:space="0" w:color="auto"/>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4. čtvrtletí</w:t>
            </w:r>
          </w:p>
        </w:tc>
        <w:tc>
          <w:tcPr>
            <w:tcW w:w="1074" w:type="dxa"/>
            <w:tcBorders>
              <w:top w:val="nil"/>
              <w:bottom w:val="single" w:sz="4" w:space="0" w:color="auto"/>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1 404</w:t>
            </w:r>
          </w:p>
        </w:tc>
        <w:tc>
          <w:tcPr>
            <w:tcW w:w="1074" w:type="dxa"/>
            <w:tcBorders>
              <w:top w:val="nil"/>
              <w:left w:val="single" w:sz="4" w:space="0" w:color="auto"/>
              <w:bottom w:val="single" w:sz="4" w:space="0" w:color="auto"/>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nil"/>
              <w:left w:val="nil"/>
              <w:bottom w:val="single" w:sz="4" w:space="0" w:color="auto"/>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-21,7</w:t>
            </w:r>
          </w:p>
        </w:tc>
        <w:tc>
          <w:tcPr>
            <w:tcW w:w="1074" w:type="dxa"/>
            <w:tcBorders>
              <w:top w:val="nil"/>
              <w:left w:val="single" w:sz="4" w:space="0" w:color="auto"/>
              <w:bottom w:val="single" w:sz="4" w:space="0" w:color="auto"/>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28 646</w:t>
            </w:r>
          </w:p>
        </w:tc>
        <w:tc>
          <w:tcPr>
            <w:tcW w:w="1074" w:type="dxa"/>
            <w:tcBorders>
              <w:top w:val="nil"/>
              <w:left w:val="single" w:sz="4" w:space="0" w:color="auto"/>
              <w:bottom w:val="single" w:sz="4" w:space="0" w:color="auto"/>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nil"/>
              <w:left w:val="nil"/>
              <w:bottom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+9,2</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rPr>
                <w:rFonts w:ascii="Arial" w:eastAsia="Times New Roman" w:hAnsi="Arial" w:cs="Arial"/>
                <w:sz w:val="18"/>
                <w:szCs w:val="16"/>
                <w:lang w:eastAsia="cs-CZ"/>
              </w:rPr>
            </w:pPr>
          </w:p>
        </w:tc>
        <w:tc>
          <w:tcPr>
            <w:tcW w:w="1776" w:type="dxa"/>
            <w:tcBorders>
              <w:top w:val="single" w:sz="4" w:space="0" w:color="auto"/>
              <w:bottom w:val="single" w:sz="4" w:space="0" w:color="auto"/>
            </w:tcBorders>
            <w:vAlign w:val="center"/>
          </w:tcPr>
          <w:p w:rsidR="00EF37DB" w:rsidRPr="00EF37DB" w:rsidRDefault="00EF37DB" w:rsidP="00EF37DB">
            <w:pPr>
              <w:spacing w:after="0" w:line="240" w:lineRule="auto"/>
              <w:rPr>
                <w:rFonts w:ascii="Arial" w:eastAsia="Times New Roman" w:hAnsi="Arial" w:cs="Times New Roman"/>
                <w:b/>
                <w:bCs/>
                <w:sz w:val="18"/>
                <w:szCs w:val="24"/>
                <w:lang w:eastAsia="cs-CZ"/>
              </w:rPr>
            </w:pPr>
            <w:r w:rsidRPr="00EF37DB">
              <w:rPr>
                <w:rFonts w:ascii="Arial" w:eastAsia="Times New Roman" w:hAnsi="Arial" w:cs="Arial"/>
                <w:b/>
                <w:bCs/>
                <w:sz w:val="18"/>
                <w:szCs w:val="16"/>
                <w:lang w:eastAsia="cs-CZ"/>
              </w:rPr>
              <w:t>Rok</w:t>
            </w:r>
          </w:p>
        </w:tc>
        <w:tc>
          <w:tcPr>
            <w:tcW w:w="1074" w:type="dxa"/>
            <w:tcBorders>
              <w:top w:val="single" w:sz="4" w:space="0" w:color="auto"/>
              <w:bottom w:val="single" w:sz="4" w:space="0" w:color="auto"/>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5 722</w:t>
            </w:r>
          </w:p>
        </w:tc>
        <w:tc>
          <w:tcPr>
            <w:tcW w:w="1074" w:type="dxa"/>
            <w:tcBorders>
              <w:top w:val="single" w:sz="4" w:space="0" w:color="auto"/>
              <w:left w:val="single" w:sz="4" w:space="0" w:color="auto"/>
              <w:bottom w:val="single" w:sz="4" w:space="0" w:color="auto"/>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-9,6</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117 801</w:t>
            </w:r>
          </w:p>
        </w:tc>
        <w:tc>
          <w:tcPr>
            <w:tcW w:w="1074" w:type="dxa"/>
            <w:tcBorders>
              <w:top w:val="single" w:sz="4" w:space="0" w:color="auto"/>
              <w:left w:val="single" w:sz="4" w:space="0" w:color="auto"/>
              <w:bottom w:val="single" w:sz="4" w:space="0" w:color="auto"/>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+19,6</w:t>
            </w:r>
          </w:p>
        </w:tc>
      </w:tr>
      <w:tr w:rsidR="00EF37DB" w:rsidRPr="00EF37DB" w:rsidTr="00F46ADF">
        <w:trPr>
          <w:cantSplit/>
          <w:trHeight w:val="284"/>
        </w:trPr>
        <w:tc>
          <w:tcPr>
            <w:tcW w:w="918" w:type="dxa"/>
            <w:vMerge w:val="restart"/>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r w:rsidRPr="00EF37DB">
              <w:rPr>
                <w:rFonts w:ascii="Arial" w:eastAsia="Times New Roman" w:hAnsi="Arial" w:cs="Arial"/>
                <w:sz w:val="18"/>
                <w:szCs w:val="16"/>
                <w:lang w:eastAsia="cs-CZ"/>
              </w:rPr>
              <w:t>2015</w:t>
            </w:r>
          </w:p>
        </w:tc>
        <w:tc>
          <w:tcPr>
            <w:tcW w:w="1776" w:type="dxa"/>
            <w:tcBorders>
              <w:top w:val="single" w:sz="4" w:space="0" w:color="auto"/>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1. čtvrtletí</w:t>
            </w:r>
          </w:p>
        </w:tc>
        <w:tc>
          <w:tcPr>
            <w:tcW w:w="1074" w:type="dxa"/>
            <w:tcBorders>
              <w:top w:val="single" w:sz="4" w:space="0" w:color="auto"/>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1 086</w:t>
            </w:r>
          </w:p>
        </w:tc>
        <w:tc>
          <w:tcPr>
            <w:tcW w:w="1074" w:type="dxa"/>
            <w:tcBorders>
              <w:top w:val="single" w:sz="4" w:space="0" w:color="auto"/>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single" w:sz="4" w:space="0" w:color="auto"/>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+12,0</w:t>
            </w:r>
          </w:p>
        </w:tc>
        <w:tc>
          <w:tcPr>
            <w:tcW w:w="1074" w:type="dxa"/>
            <w:tcBorders>
              <w:top w:val="single" w:sz="4" w:space="0" w:color="auto"/>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21 323</w:t>
            </w:r>
          </w:p>
        </w:tc>
        <w:tc>
          <w:tcPr>
            <w:tcW w:w="1074" w:type="dxa"/>
            <w:tcBorders>
              <w:top w:val="single" w:sz="4" w:space="0" w:color="auto"/>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single" w:sz="4" w:space="0" w:color="auto"/>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-7,6</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p>
        </w:tc>
        <w:tc>
          <w:tcPr>
            <w:tcW w:w="1776" w:type="dxa"/>
            <w:tcBorders>
              <w:top w:val="nil"/>
              <w:bottom w:val="nil"/>
            </w:tcBorders>
            <w:vAlign w:val="center"/>
          </w:tcPr>
          <w:p w:rsidR="00EF37DB" w:rsidRPr="00EF37DB" w:rsidRDefault="00EF37DB" w:rsidP="00EF37DB">
            <w:pPr>
              <w:spacing w:after="0" w:line="240" w:lineRule="auto"/>
              <w:rPr>
                <w:rFonts w:ascii="Arial" w:eastAsia="Times New Roman" w:hAnsi="Arial" w:cs="Times New Roman"/>
                <w:bCs/>
                <w:sz w:val="18"/>
                <w:szCs w:val="24"/>
                <w:lang w:eastAsia="cs-CZ"/>
              </w:rPr>
            </w:pPr>
            <w:r w:rsidRPr="00EF37DB">
              <w:rPr>
                <w:rFonts w:ascii="Arial" w:eastAsia="Times New Roman" w:hAnsi="Arial" w:cs="Arial"/>
                <w:sz w:val="18"/>
                <w:szCs w:val="16"/>
                <w:lang w:eastAsia="cs-CZ"/>
              </w:rPr>
              <w:t>2. čtvrtletí</w:t>
            </w:r>
          </w:p>
        </w:tc>
        <w:tc>
          <w:tcPr>
            <w:tcW w:w="1074" w:type="dxa"/>
            <w:tcBorders>
              <w:top w:val="nil"/>
              <w:bottom w:val="nil"/>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1 584</w:t>
            </w:r>
          </w:p>
        </w:tc>
        <w:tc>
          <w:tcPr>
            <w:tcW w:w="1074" w:type="dxa"/>
            <w:tcBorders>
              <w:top w:val="nil"/>
              <w:left w:val="single" w:sz="4" w:space="0" w:color="auto"/>
              <w:bottom w:val="nil"/>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nil"/>
              <w:left w:val="nil"/>
              <w:bottom w:val="nil"/>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-2,9</w:t>
            </w:r>
          </w:p>
        </w:tc>
        <w:tc>
          <w:tcPr>
            <w:tcW w:w="1074" w:type="dxa"/>
            <w:tcBorders>
              <w:top w:val="nil"/>
              <w:left w:val="single" w:sz="4" w:space="0" w:color="auto"/>
              <w:bottom w:val="nil"/>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34 751</w:t>
            </w:r>
          </w:p>
        </w:tc>
        <w:tc>
          <w:tcPr>
            <w:tcW w:w="1074" w:type="dxa"/>
            <w:tcBorders>
              <w:top w:val="nil"/>
              <w:left w:val="single" w:sz="4" w:space="0" w:color="auto"/>
              <w:bottom w:val="nil"/>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92D050"/>
                <w:sz w:val="28"/>
                <w:szCs w:val="28"/>
                <w:lang w:eastAsia="cs-CZ"/>
              </w:rPr>
              <w:sym w:font="Wingdings 3" w:char="F0C7"/>
            </w:r>
          </w:p>
        </w:tc>
        <w:tc>
          <w:tcPr>
            <w:tcW w:w="1075" w:type="dxa"/>
            <w:tcBorders>
              <w:top w:val="nil"/>
              <w:left w:val="nil"/>
              <w:bottom w:val="nil"/>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+6,7</w:t>
            </w:r>
          </w:p>
        </w:tc>
      </w:tr>
      <w:tr w:rsidR="00EF37DB" w:rsidRPr="00EF37DB" w:rsidTr="00F46ADF">
        <w:trPr>
          <w:cantSplit/>
          <w:trHeight w:val="284"/>
        </w:trPr>
        <w:tc>
          <w:tcPr>
            <w:tcW w:w="918" w:type="dxa"/>
            <w:vMerge/>
            <w:vAlign w:val="center"/>
          </w:tcPr>
          <w:p w:rsidR="00EF37DB" w:rsidRPr="00EF37DB" w:rsidRDefault="00EF37DB" w:rsidP="00EF37DB">
            <w:pPr>
              <w:spacing w:after="0" w:line="240" w:lineRule="auto"/>
              <w:jc w:val="center"/>
              <w:rPr>
                <w:rFonts w:ascii="Arial" w:eastAsia="Times New Roman" w:hAnsi="Arial" w:cs="Arial"/>
                <w:sz w:val="18"/>
                <w:szCs w:val="16"/>
                <w:lang w:eastAsia="cs-CZ"/>
              </w:rPr>
            </w:pPr>
          </w:p>
        </w:tc>
        <w:tc>
          <w:tcPr>
            <w:tcW w:w="1776" w:type="dxa"/>
            <w:tcBorders>
              <w:top w:val="single" w:sz="4" w:space="0" w:color="auto"/>
              <w:bottom w:val="single" w:sz="4" w:space="0" w:color="auto"/>
            </w:tcBorders>
            <w:vAlign w:val="center"/>
          </w:tcPr>
          <w:p w:rsidR="00EF37DB" w:rsidRPr="00EF37DB" w:rsidRDefault="00EF37DB" w:rsidP="00EF37DB">
            <w:pPr>
              <w:spacing w:after="0" w:line="240" w:lineRule="auto"/>
              <w:rPr>
                <w:rFonts w:ascii="Arial" w:eastAsia="Times New Roman" w:hAnsi="Arial" w:cs="Times New Roman"/>
                <w:b/>
                <w:bCs/>
                <w:sz w:val="18"/>
                <w:szCs w:val="24"/>
                <w:lang w:eastAsia="cs-CZ"/>
              </w:rPr>
            </w:pPr>
            <w:r w:rsidRPr="00EF37DB">
              <w:rPr>
                <w:rFonts w:ascii="Arial" w:eastAsia="Times New Roman" w:hAnsi="Arial" w:cs="Arial"/>
                <w:b/>
                <w:bCs/>
                <w:sz w:val="18"/>
                <w:szCs w:val="16"/>
                <w:lang w:eastAsia="cs-CZ"/>
              </w:rPr>
              <w:t>Leden až červenec</w:t>
            </w:r>
          </w:p>
        </w:tc>
        <w:tc>
          <w:tcPr>
            <w:tcW w:w="1074" w:type="dxa"/>
            <w:tcBorders>
              <w:top w:val="single" w:sz="4" w:space="0" w:color="auto"/>
              <w:bottom w:val="single" w:sz="4" w:space="0" w:color="auto"/>
              <w:right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3 172</w:t>
            </w:r>
          </w:p>
        </w:tc>
        <w:tc>
          <w:tcPr>
            <w:tcW w:w="1074" w:type="dxa"/>
            <w:tcBorders>
              <w:top w:val="single" w:sz="4" w:space="0" w:color="auto"/>
              <w:left w:val="single" w:sz="4" w:space="0" w:color="auto"/>
              <w:bottom w:val="single" w:sz="4" w:space="0" w:color="auto"/>
              <w:right w:val="nil"/>
            </w:tcBorders>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-2,6</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rsidR="00EF37DB" w:rsidRPr="00EF37DB" w:rsidRDefault="00EF37DB" w:rsidP="00EF37DB">
            <w:pPr>
              <w:spacing w:after="0" w:line="240" w:lineRule="auto"/>
              <w:jc w:val="right"/>
              <w:rPr>
                <w:rFonts w:ascii="Arial" w:eastAsia="Times New Roman" w:hAnsi="Arial" w:cs="Arial"/>
                <w:sz w:val="18"/>
                <w:szCs w:val="18"/>
                <w:lang w:eastAsia="cs-CZ"/>
              </w:rPr>
            </w:pPr>
            <w:r w:rsidRPr="00EF37DB">
              <w:rPr>
                <w:rFonts w:ascii="Arial" w:eastAsia="Times New Roman" w:hAnsi="Arial" w:cs="Arial"/>
                <w:sz w:val="18"/>
                <w:szCs w:val="18"/>
                <w:lang w:eastAsia="cs-CZ"/>
              </w:rPr>
              <w:t>67 986</w:t>
            </w:r>
          </w:p>
        </w:tc>
        <w:tc>
          <w:tcPr>
            <w:tcW w:w="1074" w:type="dxa"/>
            <w:tcBorders>
              <w:top w:val="single" w:sz="4" w:space="0" w:color="auto"/>
              <w:left w:val="single" w:sz="4" w:space="0" w:color="auto"/>
              <w:bottom w:val="single" w:sz="4" w:space="0" w:color="auto"/>
              <w:right w:val="nil"/>
            </w:tcBorders>
            <w:tcMar>
              <w:left w:w="0" w:type="dxa"/>
              <w:right w:w="0" w:type="dxa"/>
            </w:tcMar>
            <w:vAlign w:val="center"/>
          </w:tcPr>
          <w:p w:rsidR="00EF37DB" w:rsidRPr="00EF37DB" w:rsidRDefault="00EF37DB" w:rsidP="00EF37DB">
            <w:pPr>
              <w:spacing w:after="0" w:line="240" w:lineRule="auto"/>
              <w:jc w:val="center"/>
              <w:rPr>
                <w:rFonts w:ascii="Arial" w:eastAsia="Times New Roman" w:hAnsi="Arial" w:cs="Times New Roman"/>
                <w:bCs/>
                <w:sz w:val="28"/>
                <w:szCs w:val="28"/>
                <w:lang w:eastAsia="cs-CZ"/>
              </w:rPr>
            </w:pPr>
            <w:r w:rsidRPr="00EF37DB">
              <w:rPr>
                <w:rFonts w:ascii="Arial" w:eastAsia="Times New Roman" w:hAnsi="Arial" w:cs="Times New Roman"/>
                <w:bCs/>
                <w:color w:val="FF0000"/>
                <w:sz w:val="28"/>
                <w:szCs w:val="28"/>
                <w:lang w:eastAsia="cs-CZ"/>
              </w:rPr>
              <w:sym w:font="Wingdings 3" w:char="F0C8"/>
            </w:r>
          </w:p>
        </w:tc>
        <w:tc>
          <w:tcPr>
            <w:tcW w:w="1075" w:type="dxa"/>
            <w:tcBorders>
              <w:top w:val="single" w:sz="4" w:space="0" w:color="auto"/>
              <w:left w:val="nil"/>
              <w:bottom w:val="single" w:sz="4" w:space="0" w:color="auto"/>
            </w:tcBorders>
            <w:tcMar>
              <w:right w:w="284" w:type="dxa"/>
            </w:tcMar>
            <w:vAlign w:val="center"/>
          </w:tcPr>
          <w:p w:rsidR="00EF37DB" w:rsidRPr="00EF37DB" w:rsidRDefault="00EF37DB" w:rsidP="00EF37DB">
            <w:pPr>
              <w:spacing w:after="0" w:line="240" w:lineRule="auto"/>
              <w:jc w:val="right"/>
              <w:rPr>
                <w:rFonts w:ascii="Arial" w:eastAsia="Times New Roman" w:hAnsi="Arial" w:cs="Times New Roman"/>
                <w:bCs/>
                <w:sz w:val="18"/>
                <w:szCs w:val="24"/>
                <w:lang w:eastAsia="cs-CZ"/>
              </w:rPr>
            </w:pPr>
            <w:r w:rsidRPr="00EF37DB">
              <w:rPr>
                <w:rFonts w:ascii="Arial" w:eastAsia="Times New Roman" w:hAnsi="Arial" w:cs="Times New Roman"/>
                <w:bCs/>
                <w:sz w:val="18"/>
                <w:szCs w:val="24"/>
                <w:lang w:eastAsia="cs-CZ"/>
              </w:rPr>
              <w:t>-5,4</w:t>
            </w:r>
          </w:p>
        </w:tc>
      </w:tr>
    </w:tbl>
    <w:p w:rsidR="00EF37DB" w:rsidRPr="00EF37DB" w:rsidRDefault="00EF37DB" w:rsidP="00EF37DB">
      <w:pPr>
        <w:spacing w:after="0" w:line="240" w:lineRule="auto"/>
        <w:jc w:val="both"/>
        <w:rPr>
          <w:rFonts w:ascii="Arial" w:eastAsia="Times New Roman" w:hAnsi="Arial" w:cs="Times New Roman"/>
          <w:bCs/>
          <w:sz w:val="16"/>
          <w:szCs w:val="16"/>
          <w:lang w:eastAsia="cs-CZ"/>
        </w:rPr>
      </w:pPr>
      <w:r w:rsidRPr="00EF37DB">
        <w:rPr>
          <w:rFonts w:ascii="Arial" w:eastAsia="Times New Roman" w:hAnsi="Arial" w:cs="Times New Roman"/>
          <w:bCs/>
          <w:sz w:val="16"/>
          <w:szCs w:val="16"/>
          <w:lang w:eastAsia="cs-CZ"/>
        </w:rPr>
        <w:t>Zdroj: Věstník veřejných zakázek, výpočty CEEC Research</w:t>
      </w:r>
    </w:p>
    <w:p w:rsidR="00EF37DB" w:rsidRPr="00EF37DB" w:rsidRDefault="00EF37DB" w:rsidP="00EF37DB">
      <w:pPr>
        <w:spacing w:after="0" w:line="240" w:lineRule="auto"/>
        <w:jc w:val="both"/>
        <w:rPr>
          <w:rFonts w:ascii="Arial" w:eastAsia="Times New Roman" w:hAnsi="Arial" w:cs="Times New Roman"/>
          <w:b/>
          <w:bCs/>
          <w:sz w:val="20"/>
          <w:szCs w:val="24"/>
          <w:lang w:eastAsia="cs-CZ"/>
        </w:rPr>
      </w:pPr>
    </w:p>
    <w:p w:rsidR="00EF37DB" w:rsidRDefault="00EF37DB" w:rsidP="00C63502">
      <w:pPr>
        <w:spacing w:after="0" w:line="360" w:lineRule="auto"/>
        <w:jc w:val="both"/>
        <w:rPr>
          <w:rFonts w:ascii="Arial" w:hAnsi="Arial" w:cs="Arial"/>
          <w:color w:val="000000" w:themeColor="text1"/>
        </w:rPr>
      </w:pPr>
    </w:p>
    <w:p w:rsidR="006C7464" w:rsidRDefault="00DC4B47" w:rsidP="00DC4B47">
      <w:pPr>
        <w:spacing w:after="0" w:line="360" w:lineRule="auto"/>
        <w:jc w:val="center"/>
        <w:rPr>
          <w:rFonts w:ascii="Arial" w:hAnsi="Arial" w:cs="Arial"/>
          <w:b/>
          <w:color w:val="000000" w:themeColor="text1"/>
        </w:rPr>
      </w:pPr>
      <w:r w:rsidRPr="00DC4B47">
        <w:rPr>
          <w:rFonts w:ascii="Arial" w:hAnsi="Arial" w:cs="Arial"/>
          <w:b/>
          <w:color w:val="000000" w:themeColor="text1"/>
        </w:rPr>
        <w:t xml:space="preserve">Více na </w:t>
      </w:r>
      <w:hyperlink r:id="rId7" w:history="1">
        <w:r w:rsidRPr="00FD72F5">
          <w:rPr>
            <w:rStyle w:val="Hypertextovodkaz"/>
            <w:rFonts w:ascii="Arial" w:hAnsi="Arial" w:cs="Arial"/>
            <w:b/>
          </w:rPr>
          <w:t>www.ceec.eu</w:t>
        </w:r>
      </w:hyperlink>
    </w:p>
    <w:p w:rsidR="00DC4B47" w:rsidRPr="00DC4B47" w:rsidRDefault="00DC4B47" w:rsidP="00DC4B47">
      <w:pPr>
        <w:spacing w:after="0" w:line="360" w:lineRule="auto"/>
        <w:jc w:val="center"/>
        <w:rPr>
          <w:rFonts w:ascii="Arial" w:hAnsi="Arial" w:cs="Arial"/>
          <w:b/>
          <w:color w:val="000000" w:themeColor="text1"/>
        </w:rPr>
      </w:pPr>
    </w:p>
    <w:p w:rsidR="006C7464" w:rsidRDefault="006C7464" w:rsidP="006A6C4A">
      <w:pPr>
        <w:spacing w:after="0" w:line="360" w:lineRule="auto"/>
        <w:jc w:val="both"/>
        <w:rPr>
          <w:rFonts w:ascii="Arial" w:hAnsi="Arial" w:cs="Arial"/>
          <w:color w:val="000000" w:themeColor="text1"/>
        </w:rPr>
      </w:pPr>
    </w:p>
    <w:p w:rsidR="00C968F2" w:rsidRPr="002603EC" w:rsidRDefault="00C968F2" w:rsidP="00C45298">
      <w:pPr>
        <w:spacing w:after="0" w:line="240" w:lineRule="auto"/>
        <w:rPr>
          <w:rFonts w:ascii="Arial" w:hAnsi="Arial" w:cs="Arial"/>
          <w:b/>
          <w:color w:val="000000" w:themeColor="text1"/>
          <w:lang w:val="sk-SK"/>
        </w:rPr>
      </w:pPr>
      <w:r w:rsidRPr="002603EC">
        <w:rPr>
          <w:rFonts w:ascii="Arial" w:hAnsi="Arial" w:cs="Arial"/>
          <w:b/>
          <w:color w:val="000000" w:themeColor="text1"/>
          <w:lang w:val="sk-SK"/>
        </w:rPr>
        <w:t>Kontakt pro média:</w:t>
      </w:r>
    </w:p>
    <w:p w:rsidR="00C968F2" w:rsidRPr="002603EC" w:rsidRDefault="00C968F2" w:rsidP="00C45298">
      <w:pPr>
        <w:spacing w:after="0" w:line="240" w:lineRule="auto"/>
        <w:rPr>
          <w:rFonts w:ascii="Arial" w:hAnsi="Arial" w:cs="Arial"/>
          <w:color w:val="000000" w:themeColor="text1"/>
          <w:lang w:val="sk-SK"/>
        </w:rPr>
      </w:pPr>
      <w:r w:rsidRPr="002603EC">
        <w:rPr>
          <w:rFonts w:ascii="Arial" w:hAnsi="Arial" w:cs="Arial"/>
          <w:b/>
          <w:color w:val="000000" w:themeColor="text1"/>
          <w:lang w:val="sk-SK"/>
        </w:rPr>
        <w:lastRenderedPageBreak/>
        <w:br/>
      </w:r>
      <w:r w:rsidRPr="002603EC">
        <w:rPr>
          <w:rFonts w:ascii="Arial" w:hAnsi="Arial" w:cs="Arial"/>
          <w:color w:val="000000" w:themeColor="text1"/>
          <w:lang w:val="sk-SK"/>
        </w:rPr>
        <w:t xml:space="preserve">Alena </w:t>
      </w:r>
      <w:r w:rsidR="00B718C2" w:rsidRPr="002603EC">
        <w:rPr>
          <w:rFonts w:ascii="Arial" w:hAnsi="Arial" w:cs="Arial"/>
          <w:color w:val="000000" w:themeColor="text1"/>
          <w:lang w:val="sk-SK"/>
        </w:rPr>
        <w:t>Bradáčová</w:t>
      </w:r>
      <w:r w:rsidRPr="002603EC">
        <w:rPr>
          <w:rFonts w:ascii="Arial" w:hAnsi="Arial" w:cs="Arial"/>
          <w:color w:val="000000" w:themeColor="text1"/>
          <w:lang w:val="sk-SK"/>
        </w:rPr>
        <w:br/>
        <w:t>PR &amp; Communication Director</w:t>
      </w:r>
      <w:r w:rsidRPr="002603EC">
        <w:rPr>
          <w:rFonts w:ascii="Arial" w:hAnsi="Arial" w:cs="Arial"/>
          <w:color w:val="000000" w:themeColor="text1"/>
          <w:lang w:val="sk-SK"/>
        </w:rPr>
        <w:br/>
      </w:r>
      <w:r w:rsidR="00B718C2" w:rsidRPr="002603EC">
        <w:rPr>
          <w:rFonts w:ascii="Arial" w:hAnsi="Arial" w:cs="Arial"/>
          <w:color w:val="000000" w:themeColor="text1"/>
          <w:lang w:val="sk-SK"/>
        </w:rPr>
        <w:t>CEEC Research</w:t>
      </w:r>
      <w:r w:rsidR="00B718C2" w:rsidRPr="002603EC">
        <w:rPr>
          <w:rFonts w:ascii="Arial" w:hAnsi="Arial" w:cs="Arial"/>
          <w:color w:val="000000" w:themeColor="text1"/>
          <w:lang w:val="sk-SK"/>
        </w:rPr>
        <w:br/>
        <w:t>E-mail: bradacova</w:t>
      </w:r>
      <w:r w:rsidRPr="002603EC">
        <w:rPr>
          <w:rFonts w:ascii="Arial" w:hAnsi="Arial" w:cs="Arial"/>
          <w:color w:val="000000" w:themeColor="text1"/>
          <w:lang w:val="sk-SK"/>
        </w:rPr>
        <w:t>@ceec.eu</w:t>
      </w:r>
      <w:r w:rsidRPr="002603EC">
        <w:rPr>
          <w:rFonts w:ascii="Arial" w:hAnsi="Arial" w:cs="Arial"/>
          <w:color w:val="000000" w:themeColor="text1"/>
          <w:lang w:val="sk-SK"/>
        </w:rPr>
        <w:br/>
        <w:t>Tel.: +420 777 299</w:t>
      </w:r>
      <w:r w:rsidR="005F0F7B" w:rsidRPr="002603EC">
        <w:rPr>
          <w:rFonts w:ascii="Arial" w:hAnsi="Arial" w:cs="Arial"/>
          <w:color w:val="000000" w:themeColor="text1"/>
          <w:lang w:val="sk-SK"/>
        </w:rPr>
        <w:t> </w:t>
      </w:r>
      <w:r w:rsidRPr="002603EC">
        <w:rPr>
          <w:rFonts w:ascii="Arial" w:hAnsi="Arial" w:cs="Arial"/>
          <w:color w:val="000000" w:themeColor="text1"/>
          <w:lang w:val="sk-SK"/>
        </w:rPr>
        <w:t>790</w:t>
      </w:r>
    </w:p>
    <w:p w:rsidR="007C55A2" w:rsidRPr="002603EC" w:rsidRDefault="007C55A2" w:rsidP="00D66843">
      <w:pPr>
        <w:spacing w:after="0" w:line="240" w:lineRule="auto"/>
        <w:jc w:val="both"/>
        <w:rPr>
          <w:rFonts w:ascii="Arial" w:hAnsi="Arial" w:cs="Arial"/>
          <w:b/>
          <w:color w:val="000000" w:themeColor="text1"/>
          <w:sz w:val="20"/>
          <w:szCs w:val="20"/>
        </w:rPr>
      </w:pPr>
    </w:p>
    <w:p w:rsidR="005F0F7B" w:rsidRPr="002603EC" w:rsidRDefault="005F0F7B" w:rsidP="00D66843">
      <w:pPr>
        <w:spacing w:after="0" w:line="240" w:lineRule="auto"/>
        <w:jc w:val="both"/>
        <w:rPr>
          <w:rFonts w:ascii="Arial" w:hAnsi="Arial" w:cs="Arial"/>
          <w:b/>
          <w:color w:val="000000" w:themeColor="text1"/>
          <w:sz w:val="20"/>
          <w:szCs w:val="20"/>
        </w:rPr>
      </w:pPr>
    </w:p>
    <w:p w:rsidR="005F0F7B" w:rsidRPr="002603EC" w:rsidRDefault="005F0F7B" w:rsidP="005F0F7B">
      <w:pPr>
        <w:spacing w:after="0" w:line="240" w:lineRule="auto"/>
        <w:jc w:val="both"/>
        <w:rPr>
          <w:rFonts w:ascii="Arial" w:hAnsi="Arial" w:cs="Arial"/>
          <w:i/>
          <w:color w:val="000000" w:themeColor="text1"/>
          <w:sz w:val="16"/>
          <w:szCs w:val="16"/>
        </w:rPr>
      </w:pPr>
      <w:r w:rsidRPr="002603EC">
        <w:rPr>
          <w:rFonts w:ascii="Arial" w:hAnsi="Arial" w:cs="Arial"/>
          <w:b/>
          <w:i/>
          <w:color w:val="000000" w:themeColor="text1"/>
          <w:sz w:val="16"/>
          <w:szCs w:val="16"/>
        </w:rPr>
        <w:t>CEEC Research</w:t>
      </w:r>
      <w:r w:rsidRPr="002603EC">
        <w:rPr>
          <w:rFonts w:ascii="Arial" w:hAnsi="Arial" w:cs="Arial"/>
          <w:i/>
          <w:color w:val="000000" w:themeColor="text1"/>
          <w:sz w:val="16"/>
          <w:szCs w:val="16"/>
        </w:rPr>
        <w:t xml:space="preserve"> je největší analytickou společností specializující se na stavebnictví, projektový a developerský sektor, strojírenství a oblast veřejných zakázek v zemích střední a východní Evropy. Byla založena v roce 2005 a od té doby bezplatně poskytuje studie o aktuálním stavu a očekávaném vývoji v těchto segmentech v deseti zemích střední a východní Evropy. Všechny studie a analýzy CEEC Research jsou založen</w:t>
      </w:r>
      <w:r w:rsidR="007977DF">
        <w:rPr>
          <w:rFonts w:ascii="Arial" w:hAnsi="Arial" w:cs="Arial"/>
          <w:i/>
          <w:color w:val="000000" w:themeColor="text1"/>
          <w:sz w:val="16"/>
          <w:szCs w:val="16"/>
        </w:rPr>
        <w:t>é</w:t>
      </w:r>
      <w:r w:rsidRPr="002603EC">
        <w:rPr>
          <w:rFonts w:ascii="Arial" w:hAnsi="Arial" w:cs="Arial"/>
          <w:i/>
          <w:color w:val="000000" w:themeColor="text1"/>
          <w:sz w:val="16"/>
          <w:szCs w:val="16"/>
        </w:rPr>
        <w:t xml:space="preserve"> výhradně na údajích získaných z pravidelných strukturovaných interview s klíčovými představiteli vybraných největších, středních i malých společností. </w:t>
      </w:r>
    </w:p>
    <w:p w:rsidR="005F0F7B" w:rsidRPr="002603EC" w:rsidRDefault="005F0F7B" w:rsidP="005F0F7B">
      <w:pPr>
        <w:spacing w:after="0" w:line="240" w:lineRule="auto"/>
        <w:jc w:val="both"/>
        <w:rPr>
          <w:rFonts w:ascii="Arial" w:hAnsi="Arial" w:cs="Arial"/>
          <w:b/>
          <w:i/>
          <w:color w:val="000000" w:themeColor="text1"/>
          <w:sz w:val="16"/>
          <w:szCs w:val="16"/>
        </w:rPr>
      </w:pPr>
    </w:p>
    <w:p w:rsidR="005F0F7B" w:rsidRPr="002603EC" w:rsidRDefault="005F0F7B" w:rsidP="005F0F7B">
      <w:pPr>
        <w:spacing w:after="0" w:line="240" w:lineRule="auto"/>
        <w:jc w:val="both"/>
        <w:rPr>
          <w:rFonts w:ascii="Arial" w:hAnsi="Arial" w:cs="Arial"/>
          <w:color w:val="000000" w:themeColor="text1"/>
          <w:sz w:val="16"/>
          <w:szCs w:val="16"/>
        </w:rPr>
      </w:pPr>
      <w:r w:rsidRPr="002603EC">
        <w:rPr>
          <w:rFonts w:ascii="Arial" w:hAnsi="Arial" w:cs="Arial"/>
          <w:b/>
          <w:i/>
          <w:color w:val="000000" w:themeColor="text1"/>
          <w:sz w:val="16"/>
          <w:szCs w:val="16"/>
        </w:rPr>
        <w:t xml:space="preserve">CEEC Research </w:t>
      </w:r>
      <w:r w:rsidRPr="002603EC">
        <w:rPr>
          <w:rFonts w:ascii="Arial" w:hAnsi="Arial" w:cs="Arial"/>
          <w:i/>
          <w:color w:val="000000" w:themeColor="text1"/>
          <w:sz w:val="16"/>
          <w:szCs w:val="16"/>
        </w:rPr>
        <w:t>navíc k pravidelným a bezplatným analýzám stavebního, projektového, d</w:t>
      </w:r>
      <w:r w:rsidR="00A906AF">
        <w:rPr>
          <w:rFonts w:ascii="Arial" w:hAnsi="Arial" w:cs="Arial"/>
          <w:i/>
          <w:color w:val="000000" w:themeColor="text1"/>
          <w:sz w:val="16"/>
          <w:szCs w:val="16"/>
        </w:rPr>
        <w:t>eveloperského, strojírenského a </w:t>
      </w:r>
      <w:r w:rsidRPr="002603EC">
        <w:rPr>
          <w:rFonts w:ascii="Arial" w:hAnsi="Arial" w:cs="Arial"/>
          <w:i/>
          <w:color w:val="000000" w:themeColor="text1"/>
          <w:sz w:val="16"/>
          <w:szCs w:val="16"/>
        </w:rPr>
        <w:t xml:space="preserve">veřejného sektoru také organizuje </w:t>
      </w:r>
      <w:r w:rsidR="00A87DB5" w:rsidRPr="002603EC">
        <w:rPr>
          <w:rFonts w:ascii="Arial" w:hAnsi="Arial" w:cs="Arial"/>
          <w:i/>
          <w:color w:val="000000" w:themeColor="text1"/>
          <w:sz w:val="16"/>
          <w:szCs w:val="16"/>
        </w:rPr>
        <w:t xml:space="preserve">specializovaně </w:t>
      </w:r>
      <w:r w:rsidRPr="002603EC">
        <w:rPr>
          <w:rFonts w:ascii="Arial" w:hAnsi="Arial" w:cs="Arial"/>
          <w:i/>
          <w:color w:val="000000" w:themeColor="text1"/>
          <w:sz w:val="16"/>
          <w:szCs w:val="16"/>
        </w:rPr>
        <w:t>zaměřené konference, kterých se účastní generální ředitelé nejvýznamnějš</w:t>
      </w:r>
      <w:r w:rsidR="006A23EE" w:rsidRPr="002603EC">
        <w:rPr>
          <w:rFonts w:ascii="Arial" w:hAnsi="Arial" w:cs="Arial"/>
          <w:i/>
          <w:color w:val="000000" w:themeColor="text1"/>
          <w:sz w:val="16"/>
          <w:szCs w:val="16"/>
        </w:rPr>
        <w:t>ích stavebních, developerských,</w:t>
      </w:r>
      <w:r w:rsidRPr="002603EC">
        <w:rPr>
          <w:rFonts w:ascii="Arial" w:hAnsi="Arial" w:cs="Arial"/>
          <w:i/>
          <w:color w:val="000000" w:themeColor="text1"/>
          <w:sz w:val="16"/>
          <w:szCs w:val="16"/>
        </w:rPr>
        <w:t xml:space="preserve"> projektových a strojírenských společností, prezidenti svazů,</w:t>
      </w:r>
      <w:r w:rsidR="00F546D9" w:rsidRPr="002603EC">
        <w:rPr>
          <w:rFonts w:ascii="Arial" w:hAnsi="Arial" w:cs="Arial"/>
          <w:i/>
          <w:color w:val="000000" w:themeColor="text1"/>
          <w:sz w:val="16"/>
          <w:szCs w:val="16"/>
        </w:rPr>
        <w:t xml:space="preserve"> cechů a komor z těchto oblastí</w:t>
      </w:r>
      <w:r w:rsidR="00A87DB5" w:rsidRPr="002603EC">
        <w:rPr>
          <w:rFonts w:ascii="Arial" w:hAnsi="Arial" w:cs="Arial"/>
          <w:i/>
          <w:color w:val="000000" w:themeColor="text1"/>
          <w:sz w:val="16"/>
          <w:szCs w:val="16"/>
        </w:rPr>
        <w:t>,</w:t>
      </w:r>
      <w:r w:rsidRPr="002603EC">
        <w:rPr>
          <w:rFonts w:ascii="Arial" w:hAnsi="Arial" w:cs="Arial"/>
          <w:i/>
          <w:color w:val="000000" w:themeColor="text1"/>
          <w:sz w:val="16"/>
          <w:szCs w:val="16"/>
        </w:rPr>
        <w:t xml:space="preserve"> aby diskutovali s nejvyššími představiteli státu vybraných zemí. </w:t>
      </w:r>
    </w:p>
    <w:p w:rsidR="005F0F7B" w:rsidRPr="002603EC" w:rsidRDefault="005F0F7B" w:rsidP="00D66843">
      <w:pPr>
        <w:spacing w:after="0" w:line="240" w:lineRule="auto"/>
        <w:jc w:val="both"/>
        <w:rPr>
          <w:rFonts w:ascii="Arial" w:hAnsi="Arial" w:cs="Arial"/>
          <w:color w:val="000000" w:themeColor="text1"/>
          <w:sz w:val="16"/>
          <w:szCs w:val="16"/>
        </w:rPr>
      </w:pPr>
    </w:p>
    <w:sectPr w:rsidR="005F0F7B" w:rsidRPr="002603EC" w:rsidSect="00CB19AF">
      <w:headerReference w:type="default" r:id="rId8"/>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B0" w:rsidRDefault="006033B0" w:rsidP="00A76E50">
      <w:pPr>
        <w:spacing w:after="0" w:line="240" w:lineRule="auto"/>
      </w:pPr>
      <w:r>
        <w:separator/>
      </w:r>
    </w:p>
  </w:endnote>
  <w:endnote w:type="continuationSeparator" w:id="0">
    <w:p w:rsidR="006033B0" w:rsidRDefault="006033B0" w:rsidP="00A7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B0" w:rsidRDefault="006033B0" w:rsidP="00A76E50">
      <w:pPr>
        <w:spacing w:after="0" w:line="240" w:lineRule="auto"/>
      </w:pPr>
      <w:r>
        <w:separator/>
      </w:r>
    </w:p>
  </w:footnote>
  <w:footnote w:type="continuationSeparator" w:id="0">
    <w:p w:rsidR="006033B0" w:rsidRDefault="006033B0" w:rsidP="00A7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77" w:rsidRDefault="00E47B77" w:rsidP="00BD7803">
    <w:pPr>
      <w:pStyle w:val="Zhlav"/>
      <w:tabs>
        <w:tab w:val="clear" w:pos="4536"/>
        <w:tab w:val="clear" w:pos="9072"/>
        <w:tab w:val="left" w:pos="3585"/>
      </w:tabs>
      <w:jc w:val="center"/>
      <w:rPr>
        <w:b/>
        <w:noProof/>
        <w:color w:val="808080" w:themeColor="background1" w:themeShade="80"/>
        <w:sz w:val="60"/>
        <w:szCs w:val="60"/>
        <w:lang w:eastAsia="cs-CZ"/>
      </w:rPr>
    </w:pPr>
    <w:r>
      <w:rPr>
        <w:b/>
        <w:noProof/>
        <w:color w:val="808080" w:themeColor="background1" w:themeShade="80"/>
        <w:sz w:val="60"/>
        <w:szCs w:val="60"/>
        <w:lang w:eastAsia="cs-CZ"/>
      </w:rPr>
      <w:t xml:space="preserve">                                                       </w:t>
    </w:r>
    <w:r>
      <w:rPr>
        <w:noProof/>
        <w:lang w:eastAsia="cs-CZ"/>
      </w:rPr>
      <w:drawing>
        <wp:anchor distT="0" distB="0" distL="114300" distR="114300" simplePos="0" relativeHeight="251659264" behindDoc="0" locked="0" layoutInCell="1" allowOverlap="1" wp14:anchorId="758FCA44" wp14:editId="284F8259">
          <wp:simplePos x="0" y="0"/>
          <wp:positionH relativeFrom="column">
            <wp:posOffset>-238760</wp:posOffset>
          </wp:positionH>
          <wp:positionV relativeFrom="paragraph">
            <wp:posOffset>-199390</wp:posOffset>
          </wp:positionV>
          <wp:extent cx="1285240" cy="758825"/>
          <wp:effectExtent l="0" t="0" r="0" b="3175"/>
          <wp:wrapSquare wrapText="bothSides"/>
          <wp:docPr id="19" name="obrázek 6" descr="Popis: Popis: Popis: Popis: Popis: Popis: Popis: logo CEE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Popis: Popis: Popis: Popis: Popis: Popis: logo CEEC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anchor>
      </w:drawing>
    </w:r>
  </w:p>
  <w:p w:rsidR="00E47B77" w:rsidRDefault="0029094B" w:rsidP="0029094B">
    <w:pPr>
      <w:pStyle w:val="Zhlav"/>
      <w:tabs>
        <w:tab w:val="clear" w:pos="4536"/>
        <w:tab w:val="clear" w:pos="9072"/>
        <w:tab w:val="left" w:pos="3585"/>
      </w:tabs>
      <w:rPr>
        <w:b/>
        <w:noProof/>
        <w:color w:val="808080" w:themeColor="background1" w:themeShade="80"/>
        <w:sz w:val="60"/>
        <w:szCs w:val="60"/>
        <w:lang w:eastAsia="cs-CZ"/>
      </w:rPr>
    </w:pPr>
    <w:r>
      <w:rPr>
        <w:b/>
        <w:noProof/>
        <w:color w:val="808080" w:themeColor="background1" w:themeShade="80"/>
        <w:sz w:val="60"/>
        <w:szCs w:val="60"/>
        <w:lang w:eastAsia="cs-CZ"/>
      </w:rPr>
      <w:t xml:space="preserve">       </w:t>
    </w:r>
    <w:r w:rsidR="00E47B77" w:rsidRPr="00484806">
      <w:rPr>
        <w:b/>
        <w:noProof/>
        <w:color w:val="808080" w:themeColor="background1" w:themeShade="80"/>
        <w:sz w:val="60"/>
        <w:szCs w:val="60"/>
        <w:lang w:eastAsia="cs-CZ"/>
      </w:rPr>
      <w:t>Tisková zpráva</w:t>
    </w:r>
  </w:p>
  <w:p w:rsidR="00AC2D6D" w:rsidRPr="00AC2D6D" w:rsidRDefault="00AC2D6D" w:rsidP="00BD7803">
    <w:pPr>
      <w:pStyle w:val="Zhlav"/>
      <w:tabs>
        <w:tab w:val="clear" w:pos="4536"/>
        <w:tab w:val="clear" w:pos="9072"/>
        <w:tab w:val="left" w:pos="3585"/>
      </w:tabs>
      <w:jc w:val="center"/>
      <w:rPr>
        <w:b/>
        <w:color w:val="808080" w:themeColor="background1" w:themeShade="80"/>
        <w:sz w:val="18"/>
        <w:szCs w:val="18"/>
      </w:rPr>
    </w:pPr>
  </w:p>
  <w:p w:rsidR="00E47B77" w:rsidRDefault="00E47B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A2"/>
    <w:rsid w:val="00001257"/>
    <w:rsid w:val="00002781"/>
    <w:rsid w:val="00003552"/>
    <w:rsid w:val="000039CF"/>
    <w:rsid w:val="00003FE0"/>
    <w:rsid w:val="000110D5"/>
    <w:rsid w:val="00012CB9"/>
    <w:rsid w:val="00016986"/>
    <w:rsid w:val="00027656"/>
    <w:rsid w:val="00030F20"/>
    <w:rsid w:val="0003155E"/>
    <w:rsid w:val="00034237"/>
    <w:rsid w:val="00040AF2"/>
    <w:rsid w:val="0004318D"/>
    <w:rsid w:val="000431B3"/>
    <w:rsid w:val="00052956"/>
    <w:rsid w:val="00053DE6"/>
    <w:rsid w:val="00055D25"/>
    <w:rsid w:val="00055FC7"/>
    <w:rsid w:val="000601B9"/>
    <w:rsid w:val="000633FF"/>
    <w:rsid w:val="00064569"/>
    <w:rsid w:val="0006538F"/>
    <w:rsid w:val="00067C5F"/>
    <w:rsid w:val="00072FDF"/>
    <w:rsid w:val="00072FE8"/>
    <w:rsid w:val="00073FC5"/>
    <w:rsid w:val="00076EE1"/>
    <w:rsid w:val="000803AD"/>
    <w:rsid w:val="00080FA0"/>
    <w:rsid w:val="000853CA"/>
    <w:rsid w:val="00092923"/>
    <w:rsid w:val="00093D49"/>
    <w:rsid w:val="000957C6"/>
    <w:rsid w:val="000A03AB"/>
    <w:rsid w:val="000A0C73"/>
    <w:rsid w:val="000A2E0E"/>
    <w:rsid w:val="000A593D"/>
    <w:rsid w:val="000B0EFB"/>
    <w:rsid w:val="000B2314"/>
    <w:rsid w:val="000B3A8B"/>
    <w:rsid w:val="000B5DD2"/>
    <w:rsid w:val="000C0093"/>
    <w:rsid w:val="000C079A"/>
    <w:rsid w:val="000C2B3C"/>
    <w:rsid w:val="000C4278"/>
    <w:rsid w:val="000C5911"/>
    <w:rsid w:val="000C7B62"/>
    <w:rsid w:val="000D031A"/>
    <w:rsid w:val="000D3395"/>
    <w:rsid w:val="000D45D3"/>
    <w:rsid w:val="000D5EC9"/>
    <w:rsid w:val="000E0FE0"/>
    <w:rsid w:val="000E13CB"/>
    <w:rsid w:val="000E18ED"/>
    <w:rsid w:val="000E620E"/>
    <w:rsid w:val="000E71B9"/>
    <w:rsid w:val="000F4820"/>
    <w:rsid w:val="000F58C9"/>
    <w:rsid w:val="000F5D71"/>
    <w:rsid w:val="001037D9"/>
    <w:rsid w:val="00104FFE"/>
    <w:rsid w:val="00106389"/>
    <w:rsid w:val="00110295"/>
    <w:rsid w:val="001111BA"/>
    <w:rsid w:val="001131DD"/>
    <w:rsid w:val="00113FDE"/>
    <w:rsid w:val="00116FFB"/>
    <w:rsid w:val="00121151"/>
    <w:rsid w:val="00122E6D"/>
    <w:rsid w:val="00125253"/>
    <w:rsid w:val="0012555E"/>
    <w:rsid w:val="00127951"/>
    <w:rsid w:val="00130900"/>
    <w:rsid w:val="001346AF"/>
    <w:rsid w:val="001350E0"/>
    <w:rsid w:val="00140F9C"/>
    <w:rsid w:val="00143695"/>
    <w:rsid w:val="001536EE"/>
    <w:rsid w:val="001566B9"/>
    <w:rsid w:val="00166DEA"/>
    <w:rsid w:val="00172C66"/>
    <w:rsid w:val="00180560"/>
    <w:rsid w:val="001854A9"/>
    <w:rsid w:val="0018743F"/>
    <w:rsid w:val="00196346"/>
    <w:rsid w:val="0019645D"/>
    <w:rsid w:val="001A281A"/>
    <w:rsid w:val="001A6A6E"/>
    <w:rsid w:val="001B76D5"/>
    <w:rsid w:val="001C6F33"/>
    <w:rsid w:val="001C7E05"/>
    <w:rsid w:val="001D014A"/>
    <w:rsid w:val="001D0C46"/>
    <w:rsid w:val="001D36EB"/>
    <w:rsid w:val="001D5798"/>
    <w:rsid w:val="001D649E"/>
    <w:rsid w:val="001D7988"/>
    <w:rsid w:val="001D7AEC"/>
    <w:rsid w:val="001E446E"/>
    <w:rsid w:val="001E715E"/>
    <w:rsid w:val="001F128B"/>
    <w:rsid w:val="001F22BC"/>
    <w:rsid w:val="00200D14"/>
    <w:rsid w:val="002021AC"/>
    <w:rsid w:val="00211533"/>
    <w:rsid w:val="00212725"/>
    <w:rsid w:val="00215C0D"/>
    <w:rsid w:val="00223578"/>
    <w:rsid w:val="002262A5"/>
    <w:rsid w:val="0023367D"/>
    <w:rsid w:val="00233D6F"/>
    <w:rsid w:val="002353AC"/>
    <w:rsid w:val="00237274"/>
    <w:rsid w:val="00253FC8"/>
    <w:rsid w:val="002560EF"/>
    <w:rsid w:val="00257FF1"/>
    <w:rsid w:val="002603EC"/>
    <w:rsid w:val="00260DD4"/>
    <w:rsid w:val="00263565"/>
    <w:rsid w:val="0026597A"/>
    <w:rsid w:val="002678EB"/>
    <w:rsid w:val="00271171"/>
    <w:rsid w:val="00275AD4"/>
    <w:rsid w:val="002818F3"/>
    <w:rsid w:val="00286E6D"/>
    <w:rsid w:val="0029094B"/>
    <w:rsid w:val="0029141A"/>
    <w:rsid w:val="0029157C"/>
    <w:rsid w:val="00291BA0"/>
    <w:rsid w:val="00293553"/>
    <w:rsid w:val="00294841"/>
    <w:rsid w:val="002A05C0"/>
    <w:rsid w:val="002A0D8C"/>
    <w:rsid w:val="002A2466"/>
    <w:rsid w:val="002A6CC8"/>
    <w:rsid w:val="002A7D2C"/>
    <w:rsid w:val="002B1925"/>
    <w:rsid w:val="002B3053"/>
    <w:rsid w:val="002B69EB"/>
    <w:rsid w:val="002B7003"/>
    <w:rsid w:val="002C1116"/>
    <w:rsid w:val="002C2C67"/>
    <w:rsid w:val="002C376E"/>
    <w:rsid w:val="002C5F1D"/>
    <w:rsid w:val="002C6870"/>
    <w:rsid w:val="002D00D5"/>
    <w:rsid w:val="002D1D8C"/>
    <w:rsid w:val="002E1B68"/>
    <w:rsid w:val="002E1CCD"/>
    <w:rsid w:val="002F3CFF"/>
    <w:rsid w:val="002F4916"/>
    <w:rsid w:val="002F5151"/>
    <w:rsid w:val="002F5850"/>
    <w:rsid w:val="002F7E3F"/>
    <w:rsid w:val="003008A7"/>
    <w:rsid w:val="003014FD"/>
    <w:rsid w:val="003016AD"/>
    <w:rsid w:val="00311898"/>
    <w:rsid w:val="00311BF9"/>
    <w:rsid w:val="00315AA1"/>
    <w:rsid w:val="00317CBD"/>
    <w:rsid w:val="00320FF8"/>
    <w:rsid w:val="00324918"/>
    <w:rsid w:val="00325137"/>
    <w:rsid w:val="003267D4"/>
    <w:rsid w:val="00326977"/>
    <w:rsid w:val="00327098"/>
    <w:rsid w:val="00332EC1"/>
    <w:rsid w:val="00336791"/>
    <w:rsid w:val="003409B3"/>
    <w:rsid w:val="00341337"/>
    <w:rsid w:val="00343FE1"/>
    <w:rsid w:val="00345FAA"/>
    <w:rsid w:val="0034764A"/>
    <w:rsid w:val="00350B86"/>
    <w:rsid w:val="00355142"/>
    <w:rsid w:val="003567AD"/>
    <w:rsid w:val="00357CBB"/>
    <w:rsid w:val="00360C25"/>
    <w:rsid w:val="00367B43"/>
    <w:rsid w:val="00370B08"/>
    <w:rsid w:val="003747F5"/>
    <w:rsid w:val="00376974"/>
    <w:rsid w:val="00376E15"/>
    <w:rsid w:val="00383358"/>
    <w:rsid w:val="00387314"/>
    <w:rsid w:val="00387937"/>
    <w:rsid w:val="00390E15"/>
    <w:rsid w:val="003953D3"/>
    <w:rsid w:val="003964E1"/>
    <w:rsid w:val="003A02C1"/>
    <w:rsid w:val="003A14B6"/>
    <w:rsid w:val="003A181B"/>
    <w:rsid w:val="003A3434"/>
    <w:rsid w:val="003A4732"/>
    <w:rsid w:val="003A4FD1"/>
    <w:rsid w:val="003A6F3A"/>
    <w:rsid w:val="003A7A48"/>
    <w:rsid w:val="003A7E88"/>
    <w:rsid w:val="003B2226"/>
    <w:rsid w:val="003B24B6"/>
    <w:rsid w:val="003B2E18"/>
    <w:rsid w:val="003C0E99"/>
    <w:rsid w:val="003C3BC4"/>
    <w:rsid w:val="003C5FC8"/>
    <w:rsid w:val="003D47EA"/>
    <w:rsid w:val="003D48F8"/>
    <w:rsid w:val="003E3DE2"/>
    <w:rsid w:val="003E3F4A"/>
    <w:rsid w:val="003E40D1"/>
    <w:rsid w:val="003E77A1"/>
    <w:rsid w:val="003F1964"/>
    <w:rsid w:val="00402D9F"/>
    <w:rsid w:val="00426A92"/>
    <w:rsid w:val="004316C7"/>
    <w:rsid w:val="00433364"/>
    <w:rsid w:val="0043543D"/>
    <w:rsid w:val="004370C0"/>
    <w:rsid w:val="00437237"/>
    <w:rsid w:val="00437D6C"/>
    <w:rsid w:val="00441736"/>
    <w:rsid w:val="0044390B"/>
    <w:rsid w:val="0044519F"/>
    <w:rsid w:val="004462F7"/>
    <w:rsid w:val="00446BD0"/>
    <w:rsid w:val="0045037D"/>
    <w:rsid w:val="004503E6"/>
    <w:rsid w:val="00451891"/>
    <w:rsid w:val="00454A85"/>
    <w:rsid w:val="00460C42"/>
    <w:rsid w:val="0046114D"/>
    <w:rsid w:val="00461766"/>
    <w:rsid w:val="00466AB9"/>
    <w:rsid w:val="00471F4D"/>
    <w:rsid w:val="00475411"/>
    <w:rsid w:val="00476370"/>
    <w:rsid w:val="00476F5C"/>
    <w:rsid w:val="00477E8F"/>
    <w:rsid w:val="00481DB4"/>
    <w:rsid w:val="004861FD"/>
    <w:rsid w:val="00490688"/>
    <w:rsid w:val="004907FF"/>
    <w:rsid w:val="00492AE9"/>
    <w:rsid w:val="00493E4C"/>
    <w:rsid w:val="00494EF8"/>
    <w:rsid w:val="00497993"/>
    <w:rsid w:val="004A0102"/>
    <w:rsid w:val="004A1A95"/>
    <w:rsid w:val="004A5258"/>
    <w:rsid w:val="004A545D"/>
    <w:rsid w:val="004A559E"/>
    <w:rsid w:val="004A714A"/>
    <w:rsid w:val="004B0D3D"/>
    <w:rsid w:val="004B21C6"/>
    <w:rsid w:val="004B2FEB"/>
    <w:rsid w:val="004C14E3"/>
    <w:rsid w:val="004C778E"/>
    <w:rsid w:val="004D3CE0"/>
    <w:rsid w:val="004D75BF"/>
    <w:rsid w:val="004E20ED"/>
    <w:rsid w:val="004E474E"/>
    <w:rsid w:val="004F1468"/>
    <w:rsid w:val="004F4146"/>
    <w:rsid w:val="004F5B25"/>
    <w:rsid w:val="004F5B5A"/>
    <w:rsid w:val="00504492"/>
    <w:rsid w:val="005073A6"/>
    <w:rsid w:val="0051183B"/>
    <w:rsid w:val="00511B85"/>
    <w:rsid w:val="005171E3"/>
    <w:rsid w:val="00517883"/>
    <w:rsid w:val="0052175E"/>
    <w:rsid w:val="00524ADB"/>
    <w:rsid w:val="00530B9B"/>
    <w:rsid w:val="00530C65"/>
    <w:rsid w:val="00532BE3"/>
    <w:rsid w:val="00540E43"/>
    <w:rsid w:val="00542B8A"/>
    <w:rsid w:val="00542D5D"/>
    <w:rsid w:val="00545502"/>
    <w:rsid w:val="0054668A"/>
    <w:rsid w:val="0054748B"/>
    <w:rsid w:val="0055065F"/>
    <w:rsid w:val="00551A6D"/>
    <w:rsid w:val="005556C1"/>
    <w:rsid w:val="00555D33"/>
    <w:rsid w:val="00565634"/>
    <w:rsid w:val="005677BC"/>
    <w:rsid w:val="0057145D"/>
    <w:rsid w:val="0057268D"/>
    <w:rsid w:val="005733C7"/>
    <w:rsid w:val="005826BC"/>
    <w:rsid w:val="00584A1E"/>
    <w:rsid w:val="0058771B"/>
    <w:rsid w:val="005912D0"/>
    <w:rsid w:val="005912F8"/>
    <w:rsid w:val="005A262C"/>
    <w:rsid w:val="005A4048"/>
    <w:rsid w:val="005A498E"/>
    <w:rsid w:val="005B03B8"/>
    <w:rsid w:val="005B4980"/>
    <w:rsid w:val="005C03A3"/>
    <w:rsid w:val="005C0FA8"/>
    <w:rsid w:val="005C7342"/>
    <w:rsid w:val="005D15C7"/>
    <w:rsid w:val="005D32BF"/>
    <w:rsid w:val="005D3E08"/>
    <w:rsid w:val="005D6391"/>
    <w:rsid w:val="005E2954"/>
    <w:rsid w:val="005E295F"/>
    <w:rsid w:val="005E30D6"/>
    <w:rsid w:val="005E76DC"/>
    <w:rsid w:val="005E7D50"/>
    <w:rsid w:val="005F0F7B"/>
    <w:rsid w:val="005F436D"/>
    <w:rsid w:val="005F49DC"/>
    <w:rsid w:val="00602228"/>
    <w:rsid w:val="00602EB8"/>
    <w:rsid w:val="006033B0"/>
    <w:rsid w:val="0060359F"/>
    <w:rsid w:val="00605FD4"/>
    <w:rsid w:val="006134B4"/>
    <w:rsid w:val="006154D2"/>
    <w:rsid w:val="00616903"/>
    <w:rsid w:val="00625010"/>
    <w:rsid w:val="00627790"/>
    <w:rsid w:val="00631B69"/>
    <w:rsid w:val="00635232"/>
    <w:rsid w:val="0063643D"/>
    <w:rsid w:val="0063751A"/>
    <w:rsid w:val="00637A4B"/>
    <w:rsid w:val="006438A3"/>
    <w:rsid w:val="00655C78"/>
    <w:rsid w:val="0065684B"/>
    <w:rsid w:val="00656C38"/>
    <w:rsid w:val="00657E0A"/>
    <w:rsid w:val="0066111C"/>
    <w:rsid w:val="00661312"/>
    <w:rsid w:val="00665412"/>
    <w:rsid w:val="00665B5E"/>
    <w:rsid w:val="006702E4"/>
    <w:rsid w:val="006718DD"/>
    <w:rsid w:val="00672B58"/>
    <w:rsid w:val="00672B96"/>
    <w:rsid w:val="00672BB7"/>
    <w:rsid w:val="00673835"/>
    <w:rsid w:val="006744DE"/>
    <w:rsid w:val="00677213"/>
    <w:rsid w:val="006801BB"/>
    <w:rsid w:val="00684B67"/>
    <w:rsid w:val="006914DB"/>
    <w:rsid w:val="00693299"/>
    <w:rsid w:val="00693E78"/>
    <w:rsid w:val="006953F2"/>
    <w:rsid w:val="00696322"/>
    <w:rsid w:val="00697385"/>
    <w:rsid w:val="006A13CF"/>
    <w:rsid w:val="006A231E"/>
    <w:rsid w:val="006A23EE"/>
    <w:rsid w:val="006A528C"/>
    <w:rsid w:val="006A594B"/>
    <w:rsid w:val="006A6C4A"/>
    <w:rsid w:val="006B1D88"/>
    <w:rsid w:val="006B5BFA"/>
    <w:rsid w:val="006C5597"/>
    <w:rsid w:val="006C735B"/>
    <w:rsid w:val="006C7464"/>
    <w:rsid w:val="006E20F2"/>
    <w:rsid w:val="006E4E8A"/>
    <w:rsid w:val="006F0F71"/>
    <w:rsid w:val="006F29EF"/>
    <w:rsid w:val="006F2C05"/>
    <w:rsid w:val="006F5538"/>
    <w:rsid w:val="00702F17"/>
    <w:rsid w:val="00703F7F"/>
    <w:rsid w:val="007076E0"/>
    <w:rsid w:val="00710EF9"/>
    <w:rsid w:val="007114F4"/>
    <w:rsid w:val="0071470C"/>
    <w:rsid w:val="007151ED"/>
    <w:rsid w:val="00716F81"/>
    <w:rsid w:val="00721DB4"/>
    <w:rsid w:val="0072505A"/>
    <w:rsid w:val="0072523F"/>
    <w:rsid w:val="00725A3E"/>
    <w:rsid w:val="007262F3"/>
    <w:rsid w:val="00730372"/>
    <w:rsid w:val="00733E20"/>
    <w:rsid w:val="00737158"/>
    <w:rsid w:val="00737E6F"/>
    <w:rsid w:val="0074021E"/>
    <w:rsid w:val="00741C6E"/>
    <w:rsid w:val="007430B7"/>
    <w:rsid w:val="00744A97"/>
    <w:rsid w:val="00751610"/>
    <w:rsid w:val="00752F10"/>
    <w:rsid w:val="007547AB"/>
    <w:rsid w:val="00756A20"/>
    <w:rsid w:val="00757E18"/>
    <w:rsid w:val="007603AB"/>
    <w:rsid w:val="00760BCE"/>
    <w:rsid w:val="00763269"/>
    <w:rsid w:val="00766B88"/>
    <w:rsid w:val="0077594B"/>
    <w:rsid w:val="0077612F"/>
    <w:rsid w:val="007765E8"/>
    <w:rsid w:val="00777A89"/>
    <w:rsid w:val="00782680"/>
    <w:rsid w:val="00785B22"/>
    <w:rsid w:val="00797377"/>
    <w:rsid w:val="007977DF"/>
    <w:rsid w:val="007A4BC1"/>
    <w:rsid w:val="007B2BC0"/>
    <w:rsid w:val="007B4F0F"/>
    <w:rsid w:val="007B67E8"/>
    <w:rsid w:val="007C55A2"/>
    <w:rsid w:val="007C6D41"/>
    <w:rsid w:val="007C7D83"/>
    <w:rsid w:val="007D01D4"/>
    <w:rsid w:val="007D51D0"/>
    <w:rsid w:val="007D73AB"/>
    <w:rsid w:val="007E2491"/>
    <w:rsid w:val="007E36FA"/>
    <w:rsid w:val="007E5D4A"/>
    <w:rsid w:val="007F0ADF"/>
    <w:rsid w:val="007F5413"/>
    <w:rsid w:val="007F7BD4"/>
    <w:rsid w:val="00803C16"/>
    <w:rsid w:val="00806718"/>
    <w:rsid w:val="00812D97"/>
    <w:rsid w:val="008217D1"/>
    <w:rsid w:val="008220B0"/>
    <w:rsid w:val="00825E03"/>
    <w:rsid w:val="00832635"/>
    <w:rsid w:val="00834A8E"/>
    <w:rsid w:val="0084004E"/>
    <w:rsid w:val="00841EC8"/>
    <w:rsid w:val="008428C9"/>
    <w:rsid w:val="00850157"/>
    <w:rsid w:val="008531F1"/>
    <w:rsid w:val="00855382"/>
    <w:rsid w:val="00862954"/>
    <w:rsid w:val="00865A71"/>
    <w:rsid w:val="00871E1E"/>
    <w:rsid w:val="0087210A"/>
    <w:rsid w:val="00872C5B"/>
    <w:rsid w:val="00873C3E"/>
    <w:rsid w:val="00875846"/>
    <w:rsid w:val="00875B48"/>
    <w:rsid w:val="0088009B"/>
    <w:rsid w:val="00881C63"/>
    <w:rsid w:val="00882E09"/>
    <w:rsid w:val="0088365C"/>
    <w:rsid w:val="008878D0"/>
    <w:rsid w:val="00890743"/>
    <w:rsid w:val="00892803"/>
    <w:rsid w:val="008A1918"/>
    <w:rsid w:val="008A2D79"/>
    <w:rsid w:val="008A2FB6"/>
    <w:rsid w:val="008B1388"/>
    <w:rsid w:val="008B2FE8"/>
    <w:rsid w:val="008B43D8"/>
    <w:rsid w:val="008B50B9"/>
    <w:rsid w:val="008B7DCF"/>
    <w:rsid w:val="008C50DE"/>
    <w:rsid w:val="008C68A1"/>
    <w:rsid w:val="008C716E"/>
    <w:rsid w:val="008C72A0"/>
    <w:rsid w:val="008D414B"/>
    <w:rsid w:val="008E4090"/>
    <w:rsid w:val="008E51E4"/>
    <w:rsid w:val="008E70F3"/>
    <w:rsid w:val="008F20F7"/>
    <w:rsid w:val="008F4D01"/>
    <w:rsid w:val="00902A00"/>
    <w:rsid w:val="00906B01"/>
    <w:rsid w:val="00914FF6"/>
    <w:rsid w:val="00916FD0"/>
    <w:rsid w:val="00917465"/>
    <w:rsid w:val="00927E6C"/>
    <w:rsid w:val="00930100"/>
    <w:rsid w:val="00930BEC"/>
    <w:rsid w:val="00930CA6"/>
    <w:rsid w:val="00931E7E"/>
    <w:rsid w:val="00932481"/>
    <w:rsid w:val="009329E4"/>
    <w:rsid w:val="009356AB"/>
    <w:rsid w:val="00935BE4"/>
    <w:rsid w:val="00940D4B"/>
    <w:rsid w:val="00941616"/>
    <w:rsid w:val="00942613"/>
    <w:rsid w:val="00942706"/>
    <w:rsid w:val="009443F0"/>
    <w:rsid w:val="009452AD"/>
    <w:rsid w:val="0095004C"/>
    <w:rsid w:val="009522FC"/>
    <w:rsid w:val="00955701"/>
    <w:rsid w:val="009564A3"/>
    <w:rsid w:val="00957D0D"/>
    <w:rsid w:val="00962CD2"/>
    <w:rsid w:val="00965531"/>
    <w:rsid w:val="00966031"/>
    <w:rsid w:val="00971EE1"/>
    <w:rsid w:val="0097615D"/>
    <w:rsid w:val="00976DBB"/>
    <w:rsid w:val="009818B0"/>
    <w:rsid w:val="00981E90"/>
    <w:rsid w:val="00984818"/>
    <w:rsid w:val="00984994"/>
    <w:rsid w:val="00985694"/>
    <w:rsid w:val="00985F9A"/>
    <w:rsid w:val="00987D32"/>
    <w:rsid w:val="00990B27"/>
    <w:rsid w:val="00992BC3"/>
    <w:rsid w:val="009A1D73"/>
    <w:rsid w:val="009A38B8"/>
    <w:rsid w:val="009A58B4"/>
    <w:rsid w:val="009A6632"/>
    <w:rsid w:val="009B0A00"/>
    <w:rsid w:val="009B2A3E"/>
    <w:rsid w:val="009B3A7C"/>
    <w:rsid w:val="009B41D2"/>
    <w:rsid w:val="009B642D"/>
    <w:rsid w:val="009C099A"/>
    <w:rsid w:val="009C246B"/>
    <w:rsid w:val="009C265B"/>
    <w:rsid w:val="009C590D"/>
    <w:rsid w:val="009C7C7E"/>
    <w:rsid w:val="009D01E8"/>
    <w:rsid w:val="009D117F"/>
    <w:rsid w:val="009D125D"/>
    <w:rsid w:val="009E166B"/>
    <w:rsid w:val="009E295C"/>
    <w:rsid w:val="009E38E2"/>
    <w:rsid w:val="009E4135"/>
    <w:rsid w:val="009E635F"/>
    <w:rsid w:val="009E663B"/>
    <w:rsid w:val="009E6FA2"/>
    <w:rsid w:val="009E72B1"/>
    <w:rsid w:val="009F1B43"/>
    <w:rsid w:val="009F318A"/>
    <w:rsid w:val="009F5081"/>
    <w:rsid w:val="00A001E9"/>
    <w:rsid w:val="00A057BE"/>
    <w:rsid w:val="00A12BF5"/>
    <w:rsid w:val="00A13A16"/>
    <w:rsid w:val="00A13B5D"/>
    <w:rsid w:val="00A13BD2"/>
    <w:rsid w:val="00A1773E"/>
    <w:rsid w:val="00A26852"/>
    <w:rsid w:val="00A26A00"/>
    <w:rsid w:val="00A274A7"/>
    <w:rsid w:val="00A300A2"/>
    <w:rsid w:val="00A32EEE"/>
    <w:rsid w:val="00A3482C"/>
    <w:rsid w:val="00A45442"/>
    <w:rsid w:val="00A541D4"/>
    <w:rsid w:val="00A5433D"/>
    <w:rsid w:val="00A5482F"/>
    <w:rsid w:val="00A601AE"/>
    <w:rsid w:val="00A60D42"/>
    <w:rsid w:val="00A63FAA"/>
    <w:rsid w:val="00A6782D"/>
    <w:rsid w:val="00A728A3"/>
    <w:rsid w:val="00A7323A"/>
    <w:rsid w:val="00A745C1"/>
    <w:rsid w:val="00A76799"/>
    <w:rsid w:val="00A76E50"/>
    <w:rsid w:val="00A83933"/>
    <w:rsid w:val="00A84CE9"/>
    <w:rsid w:val="00A87DB5"/>
    <w:rsid w:val="00A906AF"/>
    <w:rsid w:val="00A906B5"/>
    <w:rsid w:val="00A926D4"/>
    <w:rsid w:val="00A94542"/>
    <w:rsid w:val="00AA1387"/>
    <w:rsid w:val="00AA5AD2"/>
    <w:rsid w:val="00AA5E74"/>
    <w:rsid w:val="00AB2DE8"/>
    <w:rsid w:val="00AC0303"/>
    <w:rsid w:val="00AC22A3"/>
    <w:rsid w:val="00AC2395"/>
    <w:rsid w:val="00AC2D6D"/>
    <w:rsid w:val="00AC339F"/>
    <w:rsid w:val="00AC5F68"/>
    <w:rsid w:val="00AC6AD5"/>
    <w:rsid w:val="00AC77CF"/>
    <w:rsid w:val="00AD0157"/>
    <w:rsid w:val="00AD4919"/>
    <w:rsid w:val="00AE0527"/>
    <w:rsid w:val="00AE1035"/>
    <w:rsid w:val="00AE16A4"/>
    <w:rsid w:val="00AE6024"/>
    <w:rsid w:val="00AE6AF6"/>
    <w:rsid w:val="00AE6E31"/>
    <w:rsid w:val="00AF2A07"/>
    <w:rsid w:val="00AF4BFC"/>
    <w:rsid w:val="00B04CD0"/>
    <w:rsid w:val="00B05FEC"/>
    <w:rsid w:val="00B12D93"/>
    <w:rsid w:val="00B12E8C"/>
    <w:rsid w:val="00B172EC"/>
    <w:rsid w:val="00B219DE"/>
    <w:rsid w:val="00B273A5"/>
    <w:rsid w:val="00B30D0D"/>
    <w:rsid w:val="00B313C0"/>
    <w:rsid w:val="00B319B5"/>
    <w:rsid w:val="00B41CB4"/>
    <w:rsid w:val="00B42338"/>
    <w:rsid w:val="00B42D41"/>
    <w:rsid w:val="00B42E63"/>
    <w:rsid w:val="00B46243"/>
    <w:rsid w:val="00B47BF2"/>
    <w:rsid w:val="00B544E3"/>
    <w:rsid w:val="00B63AC6"/>
    <w:rsid w:val="00B64398"/>
    <w:rsid w:val="00B652F6"/>
    <w:rsid w:val="00B660F0"/>
    <w:rsid w:val="00B676BD"/>
    <w:rsid w:val="00B7063C"/>
    <w:rsid w:val="00B718C2"/>
    <w:rsid w:val="00B87D38"/>
    <w:rsid w:val="00B978D3"/>
    <w:rsid w:val="00BA0468"/>
    <w:rsid w:val="00BA097C"/>
    <w:rsid w:val="00BA5729"/>
    <w:rsid w:val="00BB3010"/>
    <w:rsid w:val="00BB6FA6"/>
    <w:rsid w:val="00BB7537"/>
    <w:rsid w:val="00BB7792"/>
    <w:rsid w:val="00BC3888"/>
    <w:rsid w:val="00BD23F4"/>
    <w:rsid w:val="00BD3F96"/>
    <w:rsid w:val="00BD65DC"/>
    <w:rsid w:val="00BD6790"/>
    <w:rsid w:val="00BD7803"/>
    <w:rsid w:val="00BE0FB2"/>
    <w:rsid w:val="00BE1FCB"/>
    <w:rsid w:val="00BE37CF"/>
    <w:rsid w:val="00BE4C87"/>
    <w:rsid w:val="00BE50C4"/>
    <w:rsid w:val="00BF0311"/>
    <w:rsid w:val="00BF14DC"/>
    <w:rsid w:val="00C01ADB"/>
    <w:rsid w:val="00C04049"/>
    <w:rsid w:val="00C07B25"/>
    <w:rsid w:val="00C10580"/>
    <w:rsid w:val="00C1456C"/>
    <w:rsid w:val="00C16CC9"/>
    <w:rsid w:val="00C17127"/>
    <w:rsid w:val="00C17493"/>
    <w:rsid w:val="00C231A7"/>
    <w:rsid w:val="00C231F2"/>
    <w:rsid w:val="00C31C5B"/>
    <w:rsid w:val="00C32127"/>
    <w:rsid w:val="00C33A96"/>
    <w:rsid w:val="00C45298"/>
    <w:rsid w:val="00C456A8"/>
    <w:rsid w:val="00C52010"/>
    <w:rsid w:val="00C57142"/>
    <w:rsid w:val="00C606AD"/>
    <w:rsid w:val="00C61698"/>
    <w:rsid w:val="00C63502"/>
    <w:rsid w:val="00C66B21"/>
    <w:rsid w:val="00C71D8B"/>
    <w:rsid w:val="00C75FBF"/>
    <w:rsid w:val="00C76EFB"/>
    <w:rsid w:val="00C91307"/>
    <w:rsid w:val="00C9176D"/>
    <w:rsid w:val="00C93D89"/>
    <w:rsid w:val="00C93F8A"/>
    <w:rsid w:val="00C94082"/>
    <w:rsid w:val="00C945F2"/>
    <w:rsid w:val="00C95A8C"/>
    <w:rsid w:val="00C968F2"/>
    <w:rsid w:val="00C96933"/>
    <w:rsid w:val="00CA3F6B"/>
    <w:rsid w:val="00CB0D45"/>
    <w:rsid w:val="00CB134A"/>
    <w:rsid w:val="00CB19AF"/>
    <w:rsid w:val="00CB2C3F"/>
    <w:rsid w:val="00CB46BD"/>
    <w:rsid w:val="00CB5E6C"/>
    <w:rsid w:val="00CC1A54"/>
    <w:rsid w:val="00CC3C58"/>
    <w:rsid w:val="00CC7F02"/>
    <w:rsid w:val="00CD001D"/>
    <w:rsid w:val="00CD2EFD"/>
    <w:rsid w:val="00CD6919"/>
    <w:rsid w:val="00CE177F"/>
    <w:rsid w:val="00CE6E9C"/>
    <w:rsid w:val="00CF08E7"/>
    <w:rsid w:val="00CF2F03"/>
    <w:rsid w:val="00D016CD"/>
    <w:rsid w:val="00D01988"/>
    <w:rsid w:val="00D1081C"/>
    <w:rsid w:val="00D1155A"/>
    <w:rsid w:val="00D11C20"/>
    <w:rsid w:val="00D14C0C"/>
    <w:rsid w:val="00D16BDE"/>
    <w:rsid w:val="00D16C44"/>
    <w:rsid w:val="00D17B2A"/>
    <w:rsid w:val="00D17F2B"/>
    <w:rsid w:val="00D21B76"/>
    <w:rsid w:val="00D262A9"/>
    <w:rsid w:val="00D27A45"/>
    <w:rsid w:val="00D308FE"/>
    <w:rsid w:val="00D3106C"/>
    <w:rsid w:val="00D31B32"/>
    <w:rsid w:val="00D335C7"/>
    <w:rsid w:val="00D376F8"/>
    <w:rsid w:val="00D46F1D"/>
    <w:rsid w:val="00D50A6E"/>
    <w:rsid w:val="00D52AE5"/>
    <w:rsid w:val="00D601E1"/>
    <w:rsid w:val="00D611DB"/>
    <w:rsid w:val="00D61585"/>
    <w:rsid w:val="00D64833"/>
    <w:rsid w:val="00D6525A"/>
    <w:rsid w:val="00D6587A"/>
    <w:rsid w:val="00D66843"/>
    <w:rsid w:val="00D74B72"/>
    <w:rsid w:val="00D82AEE"/>
    <w:rsid w:val="00D8719A"/>
    <w:rsid w:val="00D87C81"/>
    <w:rsid w:val="00D91433"/>
    <w:rsid w:val="00DB07A6"/>
    <w:rsid w:val="00DB21E5"/>
    <w:rsid w:val="00DB34B3"/>
    <w:rsid w:val="00DB5326"/>
    <w:rsid w:val="00DC4B47"/>
    <w:rsid w:val="00DC6643"/>
    <w:rsid w:val="00DD367E"/>
    <w:rsid w:val="00DE5DFF"/>
    <w:rsid w:val="00DE6045"/>
    <w:rsid w:val="00DE6B4C"/>
    <w:rsid w:val="00DF10AB"/>
    <w:rsid w:val="00E018DE"/>
    <w:rsid w:val="00E03916"/>
    <w:rsid w:val="00E10585"/>
    <w:rsid w:val="00E12712"/>
    <w:rsid w:val="00E128C6"/>
    <w:rsid w:val="00E15271"/>
    <w:rsid w:val="00E1528D"/>
    <w:rsid w:val="00E15E35"/>
    <w:rsid w:val="00E17213"/>
    <w:rsid w:val="00E22B32"/>
    <w:rsid w:val="00E250FF"/>
    <w:rsid w:val="00E25CA4"/>
    <w:rsid w:val="00E27F64"/>
    <w:rsid w:val="00E32B62"/>
    <w:rsid w:val="00E35919"/>
    <w:rsid w:val="00E367CE"/>
    <w:rsid w:val="00E46B3F"/>
    <w:rsid w:val="00E4754E"/>
    <w:rsid w:val="00E47B77"/>
    <w:rsid w:val="00E50308"/>
    <w:rsid w:val="00E508E4"/>
    <w:rsid w:val="00E50CC2"/>
    <w:rsid w:val="00E529A9"/>
    <w:rsid w:val="00E56EA4"/>
    <w:rsid w:val="00E6105C"/>
    <w:rsid w:val="00E64F14"/>
    <w:rsid w:val="00E65EA3"/>
    <w:rsid w:val="00E6747F"/>
    <w:rsid w:val="00E758AE"/>
    <w:rsid w:val="00E763DF"/>
    <w:rsid w:val="00E907AC"/>
    <w:rsid w:val="00E9100F"/>
    <w:rsid w:val="00E92382"/>
    <w:rsid w:val="00E92C0C"/>
    <w:rsid w:val="00E9337A"/>
    <w:rsid w:val="00E95B38"/>
    <w:rsid w:val="00E96228"/>
    <w:rsid w:val="00EA3F2E"/>
    <w:rsid w:val="00EA4F78"/>
    <w:rsid w:val="00EB37E6"/>
    <w:rsid w:val="00EB6829"/>
    <w:rsid w:val="00EB6ACF"/>
    <w:rsid w:val="00EC008B"/>
    <w:rsid w:val="00EC17F7"/>
    <w:rsid w:val="00EC548D"/>
    <w:rsid w:val="00EC5FD4"/>
    <w:rsid w:val="00EC5FE5"/>
    <w:rsid w:val="00EC6620"/>
    <w:rsid w:val="00EC72CC"/>
    <w:rsid w:val="00ED749E"/>
    <w:rsid w:val="00ED76BA"/>
    <w:rsid w:val="00EE0F00"/>
    <w:rsid w:val="00EF0B88"/>
    <w:rsid w:val="00EF25C5"/>
    <w:rsid w:val="00EF37DB"/>
    <w:rsid w:val="00EF6BE0"/>
    <w:rsid w:val="00EF7BB3"/>
    <w:rsid w:val="00F15EB5"/>
    <w:rsid w:val="00F17FD0"/>
    <w:rsid w:val="00F20E32"/>
    <w:rsid w:val="00F21FD4"/>
    <w:rsid w:val="00F24528"/>
    <w:rsid w:val="00F3132D"/>
    <w:rsid w:val="00F313A6"/>
    <w:rsid w:val="00F36129"/>
    <w:rsid w:val="00F442EB"/>
    <w:rsid w:val="00F5151A"/>
    <w:rsid w:val="00F5346D"/>
    <w:rsid w:val="00F546D9"/>
    <w:rsid w:val="00F615CB"/>
    <w:rsid w:val="00F6617A"/>
    <w:rsid w:val="00F72E94"/>
    <w:rsid w:val="00F740B9"/>
    <w:rsid w:val="00F90113"/>
    <w:rsid w:val="00F915C5"/>
    <w:rsid w:val="00F922F7"/>
    <w:rsid w:val="00F94DB2"/>
    <w:rsid w:val="00F976FB"/>
    <w:rsid w:val="00FA048C"/>
    <w:rsid w:val="00FA3564"/>
    <w:rsid w:val="00FA7065"/>
    <w:rsid w:val="00FA7766"/>
    <w:rsid w:val="00FB282F"/>
    <w:rsid w:val="00FB55E5"/>
    <w:rsid w:val="00FC2A47"/>
    <w:rsid w:val="00FD0C4C"/>
    <w:rsid w:val="00FD1948"/>
    <w:rsid w:val="00FD4B1E"/>
    <w:rsid w:val="00FE1F07"/>
    <w:rsid w:val="00FE32AE"/>
    <w:rsid w:val="00FE4D4F"/>
    <w:rsid w:val="00FF07BB"/>
    <w:rsid w:val="00FF1841"/>
    <w:rsid w:val="00FF1E26"/>
    <w:rsid w:val="00FF4528"/>
    <w:rsid w:val="00FF52C6"/>
    <w:rsid w:val="00FF791C"/>
  </w:rsids>
  <m:mathPr>
    <m:mathFont m:val="Cambria Math"/>
    <m:brkBin m:val="before"/>
    <m:brkBinSub m:val="--"/>
    <m:smallFrac m:val="0"/>
    <m:dispDef/>
    <m:lMargin m:val="0"/>
    <m:rMargin m:val="0"/>
    <m:defJc m:val="centerGroup"/>
    <m:wrapIndent m:val="1440"/>
    <m:intLim m:val="subSup"/>
    <m:naryLim m:val="undOvr"/>
  </m:mathPr>
  <w:themeFontLang w:val="cs-CZ"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4B8E2-519C-4DEC-8E44-8C35E3C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68F2"/>
    <w:rPr>
      <w:color w:val="0000FF"/>
      <w:u w:val="single"/>
    </w:rPr>
  </w:style>
  <w:style w:type="character" w:customStyle="1" w:styleId="hps">
    <w:name w:val="hps"/>
    <w:basedOn w:val="Standardnpsmoodstavce"/>
    <w:rsid w:val="00C968F2"/>
  </w:style>
  <w:style w:type="paragraph" w:styleId="Zhlav">
    <w:name w:val="header"/>
    <w:basedOn w:val="Normln"/>
    <w:link w:val="ZhlavChar"/>
    <w:uiPriority w:val="99"/>
    <w:unhideWhenUsed/>
    <w:rsid w:val="00A76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50"/>
  </w:style>
  <w:style w:type="paragraph" w:styleId="Zpat">
    <w:name w:val="footer"/>
    <w:basedOn w:val="Normln"/>
    <w:link w:val="ZpatChar"/>
    <w:uiPriority w:val="99"/>
    <w:unhideWhenUsed/>
    <w:rsid w:val="00A76E5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50"/>
  </w:style>
  <w:style w:type="paragraph" w:styleId="Textbubliny">
    <w:name w:val="Balloon Text"/>
    <w:basedOn w:val="Normln"/>
    <w:link w:val="TextbublinyChar"/>
    <w:uiPriority w:val="99"/>
    <w:semiHidden/>
    <w:unhideWhenUsed/>
    <w:rsid w:val="00FF07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7BB"/>
    <w:rPr>
      <w:rFonts w:ascii="Tahoma" w:hAnsi="Tahoma" w:cs="Tahoma"/>
      <w:sz w:val="16"/>
      <w:szCs w:val="16"/>
    </w:rPr>
  </w:style>
  <w:style w:type="character" w:styleId="Odkaznakoment">
    <w:name w:val="annotation reference"/>
    <w:basedOn w:val="Standardnpsmoodstavce"/>
    <w:uiPriority w:val="99"/>
    <w:semiHidden/>
    <w:unhideWhenUsed/>
    <w:rsid w:val="00F94DB2"/>
    <w:rPr>
      <w:sz w:val="16"/>
      <w:szCs w:val="16"/>
    </w:rPr>
  </w:style>
  <w:style w:type="paragraph" w:styleId="Textkomente">
    <w:name w:val="annotation text"/>
    <w:basedOn w:val="Normln"/>
    <w:link w:val="TextkomenteChar"/>
    <w:uiPriority w:val="99"/>
    <w:semiHidden/>
    <w:unhideWhenUsed/>
    <w:rsid w:val="00F94DB2"/>
    <w:pPr>
      <w:spacing w:line="240" w:lineRule="auto"/>
    </w:pPr>
    <w:rPr>
      <w:sz w:val="20"/>
      <w:szCs w:val="20"/>
    </w:rPr>
  </w:style>
  <w:style w:type="character" w:customStyle="1" w:styleId="TextkomenteChar">
    <w:name w:val="Text komentáře Char"/>
    <w:basedOn w:val="Standardnpsmoodstavce"/>
    <w:link w:val="Textkomente"/>
    <w:uiPriority w:val="99"/>
    <w:semiHidden/>
    <w:rsid w:val="00F94DB2"/>
    <w:rPr>
      <w:sz w:val="20"/>
      <w:szCs w:val="20"/>
    </w:rPr>
  </w:style>
  <w:style w:type="paragraph" w:styleId="Pedmtkomente">
    <w:name w:val="annotation subject"/>
    <w:basedOn w:val="Textkomente"/>
    <w:next w:val="Textkomente"/>
    <w:link w:val="PedmtkomenteChar"/>
    <w:uiPriority w:val="99"/>
    <w:semiHidden/>
    <w:unhideWhenUsed/>
    <w:rsid w:val="00F94DB2"/>
    <w:rPr>
      <w:b/>
      <w:bCs/>
    </w:rPr>
  </w:style>
  <w:style w:type="character" w:customStyle="1" w:styleId="PedmtkomenteChar">
    <w:name w:val="Předmět komentáře Char"/>
    <w:basedOn w:val="TextkomenteChar"/>
    <w:link w:val="Pedmtkomente"/>
    <w:uiPriority w:val="99"/>
    <w:semiHidden/>
    <w:rsid w:val="00F94DB2"/>
    <w:rPr>
      <w:b/>
      <w:bCs/>
      <w:sz w:val="20"/>
      <w:szCs w:val="20"/>
    </w:rPr>
  </w:style>
  <w:style w:type="paragraph" w:styleId="Prosttext">
    <w:name w:val="Plain Text"/>
    <w:basedOn w:val="Normln"/>
    <w:link w:val="ProsttextChar"/>
    <w:uiPriority w:val="99"/>
    <w:semiHidden/>
    <w:unhideWhenUsed/>
    <w:rsid w:val="00A84CE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84CE9"/>
    <w:rPr>
      <w:rFonts w:ascii="Calibri" w:hAnsi="Calibri"/>
      <w:szCs w:val="21"/>
    </w:rPr>
  </w:style>
  <w:style w:type="paragraph" w:styleId="Odstavecseseznamem">
    <w:name w:val="List Paragraph"/>
    <w:basedOn w:val="Normln"/>
    <w:uiPriority w:val="34"/>
    <w:qFormat/>
    <w:rsid w:val="005171E3"/>
    <w:pPr>
      <w:ind w:left="720"/>
      <w:contextualSpacing/>
    </w:pPr>
  </w:style>
  <w:style w:type="paragraph" w:styleId="Revize">
    <w:name w:val="Revision"/>
    <w:hidden/>
    <w:uiPriority w:val="99"/>
    <w:semiHidden/>
    <w:rsid w:val="004B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0995">
      <w:bodyDiv w:val="1"/>
      <w:marLeft w:val="0"/>
      <w:marRight w:val="0"/>
      <w:marTop w:val="0"/>
      <w:marBottom w:val="0"/>
      <w:divBdr>
        <w:top w:val="none" w:sz="0" w:space="0" w:color="auto"/>
        <w:left w:val="none" w:sz="0" w:space="0" w:color="auto"/>
        <w:bottom w:val="none" w:sz="0" w:space="0" w:color="auto"/>
        <w:right w:val="none" w:sz="0" w:space="0" w:color="auto"/>
      </w:divBdr>
    </w:div>
    <w:div w:id="109128374">
      <w:bodyDiv w:val="1"/>
      <w:marLeft w:val="0"/>
      <w:marRight w:val="0"/>
      <w:marTop w:val="0"/>
      <w:marBottom w:val="0"/>
      <w:divBdr>
        <w:top w:val="none" w:sz="0" w:space="0" w:color="auto"/>
        <w:left w:val="none" w:sz="0" w:space="0" w:color="auto"/>
        <w:bottom w:val="none" w:sz="0" w:space="0" w:color="auto"/>
        <w:right w:val="none" w:sz="0" w:space="0" w:color="auto"/>
      </w:divBdr>
    </w:div>
    <w:div w:id="120659466">
      <w:bodyDiv w:val="1"/>
      <w:marLeft w:val="0"/>
      <w:marRight w:val="0"/>
      <w:marTop w:val="0"/>
      <w:marBottom w:val="0"/>
      <w:divBdr>
        <w:top w:val="none" w:sz="0" w:space="0" w:color="auto"/>
        <w:left w:val="none" w:sz="0" w:space="0" w:color="auto"/>
        <w:bottom w:val="none" w:sz="0" w:space="0" w:color="auto"/>
        <w:right w:val="none" w:sz="0" w:space="0" w:color="auto"/>
      </w:divBdr>
    </w:div>
    <w:div w:id="170604456">
      <w:bodyDiv w:val="1"/>
      <w:marLeft w:val="0"/>
      <w:marRight w:val="0"/>
      <w:marTop w:val="0"/>
      <w:marBottom w:val="0"/>
      <w:divBdr>
        <w:top w:val="none" w:sz="0" w:space="0" w:color="auto"/>
        <w:left w:val="none" w:sz="0" w:space="0" w:color="auto"/>
        <w:bottom w:val="none" w:sz="0" w:space="0" w:color="auto"/>
        <w:right w:val="none" w:sz="0" w:space="0" w:color="auto"/>
      </w:divBdr>
    </w:div>
    <w:div w:id="254748626">
      <w:bodyDiv w:val="1"/>
      <w:marLeft w:val="0"/>
      <w:marRight w:val="0"/>
      <w:marTop w:val="0"/>
      <w:marBottom w:val="0"/>
      <w:divBdr>
        <w:top w:val="none" w:sz="0" w:space="0" w:color="auto"/>
        <w:left w:val="none" w:sz="0" w:space="0" w:color="auto"/>
        <w:bottom w:val="none" w:sz="0" w:space="0" w:color="auto"/>
        <w:right w:val="none" w:sz="0" w:space="0" w:color="auto"/>
      </w:divBdr>
    </w:div>
    <w:div w:id="260451162">
      <w:bodyDiv w:val="1"/>
      <w:marLeft w:val="0"/>
      <w:marRight w:val="0"/>
      <w:marTop w:val="0"/>
      <w:marBottom w:val="0"/>
      <w:divBdr>
        <w:top w:val="none" w:sz="0" w:space="0" w:color="auto"/>
        <w:left w:val="none" w:sz="0" w:space="0" w:color="auto"/>
        <w:bottom w:val="none" w:sz="0" w:space="0" w:color="auto"/>
        <w:right w:val="none" w:sz="0" w:space="0" w:color="auto"/>
      </w:divBdr>
    </w:div>
    <w:div w:id="323822136">
      <w:bodyDiv w:val="1"/>
      <w:marLeft w:val="0"/>
      <w:marRight w:val="0"/>
      <w:marTop w:val="0"/>
      <w:marBottom w:val="0"/>
      <w:divBdr>
        <w:top w:val="none" w:sz="0" w:space="0" w:color="auto"/>
        <w:left w:val="none" w:sz="0" w:space="0" w:color="auto"/>
        <w:bottom w:val="none" w:sz="0" w:space="0" w:color="auto"/>
        <w:right w:val="none" w:sz="0" w:space="0" w:color="auto"/>
      </w:divBdr>
    </w:div>
    <w:div w:id="326520374">
      <w:bodyDiv w:val="1"/>
      <w:marLeft w:val="0"/>
      <w:marRight w:val="0"/>
      <w:marTop w:val="0"/>
      <w:marBottom w:val="0"/>
      <w:divBdr>
        <w:top w:val="none" w:sz="0" w:space="0" w:color="auto"/>
        <w:left w:val="none" w:sz="0" w:space="0" w:color="auto"/>
        <w:bottom w:val="none" w:sz="0" w:space="0" w:color="auto"/>
        <w:right w:val="none" w:sz="0" w:space="0" w:color="auto"/>
      </w:divBdr>
    </w:div>
    <w:div w:id="367342837">
      <w:bodyDiv w:val="1"/>
      <w:marLeft w:val="0"/>
      <w:marRight w:val="0"/>
      <w:marTop w:val="0"/>
      <w:marBottom w:val="0"/>
      <w:divBdr>
        <w:top w:val="none" w:sz="0" w:space="0" w:color="auto"/>
        <w:left w:val="none" w:sz="0" w:space="0" w:color="auto"/>
        <w:bottom w:val="none" w:sz="0" w:space="0" w:color="auto"/>
        <w:right w:val="none" w:sz="0" w:space="0" w:color="auto"/>
      </w:divBdr>
    </w:div>
    <w:div w:id="389116821">
      <w:bodyDiv w:val="1"/>
      <w:marLeft w:val="0"/>
      <w:marRight w:val="0"/>
      <w:marTop w:val="0"/>
      <w:marBottom w:val="0"/>
      <w:divBdr>
        <w:top w:val="none" w:sz="0" w:space="0" w:color="auto"/>
        <w:left w:val="none" w:sz="0" w:space="0" w:color="auto"/>
        <w:bottom w:val="none" w:sz="0" w:space="0" w:color="auto"/>
        <w:right w:val="none" w:sz="0" w:space="0" w:color="auto"/>
      </w:divBdr>
    </w:div>
    <w:div w:id="485822104">
      <w:bodyDiv w:val="1"/>
      <w:marLeft w:val="0"/>
      <w:marRight w:val="0"/>
      <w:marTop w:val="0"/>
      <w:marBottom w:val="0"/>
      <w:divBdr>
        <w:top w:val="none" w:sz="0" w:space="0" w:color="auto"/>
        <w:left w:val="none" w:sz="0" w:space="0" w:color="auto"/>
        <w:bottom w:val="none" w:sz="0" w:space="0" w:color="auto"/>
        <w:right w:val="none" w:sz="0" w:space="0" w:color="auto"/>
      </w:divBdr>
    </w:div>
    <w:div w:id="631986430">
      <w:bodyDiv w:val="1"/>
      <w:marLeft w:val="0"/>
      <w:marRight w:val="0"/>
      <w:marTop w:val="0"/>
      <w:marBottom w:val="0"/>
      <w:divBdr>
        <w:top w:val="none" w:sz="0" w:space="0" w:color="auto"/>
        <w:left w:val="none" w:sz="0" w:space="0" w:color="auto"/>
        <w:bottom w:val="none" w:sz="0" w:space="0" w:color="auto"/>
        <w:right w:val="none" w:sz="0" w:space="0" w:color="auto"/>
      </w:divBdr>
    </w:div>
    <w:div w:id="668217775">
      <w:bodyDiv w:val="1"/>
      <w:marLeft w:val="0"/>
      <w:marRight w:val="0"/>
      <w:marTop w:val="0"/>
      <w:marBottom w:val="0"/>
      <w:divBdr>
        <w:top w:val="none" w:sz="0" w:space="0" w:color="auto"/>
        <w:left w:val="none" w:sz="0" w:space="0" w:color="auto"/>
        <w:bottom w:val="none" w:sz="0" w:space="0" w:color="auto"/>
        <w:right w:val="none" w:sz="0" w:space="0" w:color="auto"/>
      </w:divBdr>
    </w:div>
    <w:div w:id="719983553">
      <w:bodyDiv w:val="1"/>
      <w:marLeft w:val="0"/>
      <w:marRight w:val="0"/>
      <w:marTop w:val="0"/>
      <w:marBottom w:val="0"/>
      <w:divBdr>
        <w:top w:val="none" w:sz="0" w:space="0" w:color="auto"/>
        <w:left w:val="none" w:sz="0" w:space="0" w:color="auto"/>
        <w:bottom w:val="none" w:sz="0" w:space="0" w:color="auto"/>
        <w:right w:val="none" w:sz="0" w:space="0" w:color="auto"/>
      </w:divBdr>
    </w:div>
    <w:div w:id="976909629">
      <w:bodyDiv w:val="1"/>
      <w:marLeft w:val="0"/>
      <w:marRight w:val="0"/>
      <w:marTop w:val="0"/>
      <w:marBottom w:val="0"/>
      <w:divBdr>
        <w:top w:val="none" w:sz="0" w:space="0" w:color="auto"/>
        <w:left w:val="none" w:sz="0" w:space="0" w:color="auto"/>
        <w:bottom w:val="none" w:sz="0" w:space="0" w:color="auto"/>
        <w:right w:val="none" w:sz="0" w:space="0" w:color="auto"/>
      </w:divBdr>
    </w:div>
    <w:div w:id="1197238044">
      <w:bodyDiv w:val="1"/>
      <w:marLeft w:val="0"/>
      <w:marRight w:val="0"/>
      <w:marTop w:val="0"/>
      <w:marBottom w:val="0"/>
      <w:divBdr>
        <w:top w:val="none" w:sz="0" w:space="0" w:color="auto"/>
        <w:left w:val="none" w:sz="0" w:space="0" w:color="auto"/>
        <w:bottom w:val="none" w:sz="0" w:space="0" w:color="auto"/>
        <w:right w:val="none" w:sz="0" w:space="0" w:color="auto"/>
      </w:divBdr>
    </w:div>
    <w:div w:id="1206794002">
      <w:bodyDiv w:val="1"/>
      <w:marLeft w:val="0"/>
      <w:marRight w:val="0"/>
      <w:marTop w:val="0"/>
      <w:marBottom w:val="0"/>
      <w:divBdr>
        <w:top w:val="none" w:sz="0" w:space="0" w:color="auto"/>
        <w:left w:val="none" w:sz="0" w:space="0" w:color="auto"/>
        <w:bottom w:val="none" w:sz="0" w:space="0" w:color="auto"/>
        <w:right w:val="none" w:sz="0" w:space="0" w:color="auto"/>
      </w:divBdr>
    </w:div>
    <w:div w:id="1321039592">
      <w:bodyDiv w:val="1"/>
      <w:marLeft w:val="0"/>
      <w:marRight w:val="0"/>
      <w:marTop w:val="0"/>
      <w:marBottom w:val="0"/>
      <w:divBdr>
        <w:top w:val="none" w:sz="0" w:space="0" w:color="auto"/>
        <w:left w:val="none" w:sz="0" w:space="0" w:color="auto"/>
        <w:bottom w:val="none" w:sz="0" w:space="0" w:color="auto"/>
        <w:right w:val="none" w:sz="0" w:space="0" w:color="auto"/>
      </w:divBdr>
    </w:div>
    <w:div w:id="1486580144">
      <w:bodyDiv w:val="1"/>
      <w:marLeft w:val="0"/>
      <w:marRight w:val="0"/>
      <w:marTop w:val="0"/>
      <w:marBottom w:val="0"/>
      <w:divBdr>
        <w:top w:val="none" w:sz="0" w:space="0" w:color="auto"/>
        <w:left w:val="none" w:sz="0" w:space="0" w:color="auto"/>
        <w:bottom w:val="none" w:sz="0" w:space="0" w:color="auto"/>
        <w:right w:val="none" w:sz="0" w:space="0" w:color="auto"/>
      </w:divBdr>
    </w:div>
    <w:div w:id="1511721209">
      <w:bodyDiv w:val="1"/>
      <w:marLeft w:val="0"/>
      <w:marRight w:val="0"/>
      <w:marTop w:val="0"/>
      <w:marBottom w:val="0"/>
      <w:divBdr>
        <w:top w:val="none" w:sz="0" w:space="0" w:color="auto"/>
        <w:left w:val="none" w:sz="0" w:space="0" w:color="auto"/>
        <w:bottom w:val="none" w:sz="0" w:space="0" w:color="auto"/>
        <w:right w:val="none" w:sz="0" w:space="0" w:color="auto"/>
      </w:divBdr>
    </w:div>
    <w:div w:id="1658654128">
      <w:bodyDiv w:val="1"/>
      <w:marLeft w:val="0"/>
      <w:marRight w:val="0"/>
      <w:marTop w:val="0"/>
      <w:marBottom w:val="0"/>
      <w:divBdr>
        <w:top w:val="none" w:sz="0" w:space="0" w:color="auto"/>
        <w:left w:val="none" w:sz="0" w:space="0" w:color="auto"/>
        <w:bottom w:val="none" w:sz="0" w:space="0" w:color="auto"/>
        <w:right w:val="none" w:sz="0" w:space="0" w:color="auto"/>
      </w:divBdr>
    </w:div>
    <w:div w:id="1764379209">
      <w:bodyDiv w:val="1"/>
      <w:marLeft w:val="0"/>
      <w:marRight w:val="0"/>
      <w:marTop w:val="0"/>
      <w:marBottom w:val="0"/>
      <w:divBdr>
        <w:top w:val="none" w:sz="0" w:space="0" w:color="auto"/>
        <w:left w:val="none" w:sz="0" w:space="0" w:color="auto"/>
        <w:bottom w:val="none" w:sz="0" w:space="0" w:color="auto"/>
        <w:right w:val="none" w:sz="0" w:space="0" w:color="auto"/>
      </w:divBdr>
    </w:div>
    <w:div w:id="1806504918">
      <w:bodyDiv w:val="1"/>
      <w:marLeft w:val="0"/>
      <w:marRight w:val="0"/>
      <w:marTop w:val="0"/>
      <w:marBottom w:val="0"/>
      <w:divBdr>
        <w:top w:val="none" w:sz="0" w:space="0" w:color="auto"/>
        <w:left w:val="none" w:sz="0" w:space="0" w:color="auto"/>
        <w:bottom w:val="none" w:sz="0" w:space="0" w:color="auto"/>
        <w:right w:val="none" w:sz="0" w:space="0" w:color="auto"/>
      </w:divBdr>
    </w:div>
    <w:div w:id="1846549449">
      <w:bodyDiv w:val="1"/>
      <w:marLeft w:val="0"/>
      <w:marRight w:val="0"/>
      <w:marTop w:val="0"/>
      <w:marBottom w:val="0"/>
      <w:divBdr>
        <w:top w:val="none" w:sz="0" w:space="0" w:color="auto"/>
        <w:left w:val="none" w:sz="0" w:space="0" w:color="auto"/>
        <w:bottom w:val="none" w:sz="0" w:space="0" w:color="auto"/>
        <w:right w:val="none" w:sz="0" w:space="0" w:color="auto"/>
      </w:divBdr>
    </w:div>
    <w:div w:id="2051220899">
      <w:bodyDiv w:val="1"/>
      <w:marLeft w:val="0"/>
      <w:marRight w:val="0"/>
      <w:marTop w:val="0"/>
      <w:marBottom w:val="0"/>
      <w:divBdr>
        <w:top w:val="none" w:sz="0" w:space="0" w:color="auto"/>
        <w:left w:val="none" w:sz="0" w:space="0" w:color="auto"/>
        <w:bottom w:val="none" w:sz="0" w:space="0" w:color="auto"/>
        <w:right w:val="none" w:sz="0" w:space="0" w:color="auto"/>
      </w:divBdr>
    </w:div>
    <w:div w:id="2062168309">
      <w:bodyDiv w:val="1"/>
      <w:marLeft w:val="0"/>
      <w:marRight w:val="0"/>
      <w:marTop w:val="0"/>
      <w:marBottom w:val="0"/>
      <w:divBdr>
        <w:top w:val="none" w:sz="0" w:space="0" w:color="auto"/>
        <w:left w:val="none" w:sz="0" w:space="0" w:color="auto"/>
        <w:bottom w:val="none" w:sz="0" w:space="0" w:color="auto"/>
        <w:right w:val="none" w:sz="0" w:space="0" w:color="auto"/>
      </w:divBdr>
    </w:div>
    <w:div w:id="20724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ec.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A943-F253-4D89-8B61-CF0AE001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719</Words>
  <Characters>4246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CEEC</dc:creator>
  <cp:lastModifiedBy>CEEC Research</cp:lastModifiedBy>
  <cp:revision>5</cp:revision>
  <dcterms:created xsi:type="dcterms:W3CDTF">2015-08-28T13:20:00Z</dcterms:created>
  <dcterms:modified xsi:type="dcterms:W3CDTF">2015-09-07T07:19:00Z</dcterms:modified>
</cp:coreProperties>
</file>