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CC" w:rsidRDefault="00D82AEE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V červnu s</w:t>
      </w:r>
      <w:r w:rsidR="00122E6D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tát vypsal rekordní množství zakázek</w:t>
      </w:r>
    </w:p>
    <w:p w:rsidR="00C63502" w:rsidRDefault="00C63502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</w:p>
    <w:p w:rsidR="00B64398" w:rsidRPr="002603EC" w:rsidRDefault="00B718C2" w:rsidP="00030F20">
      <w:pPr>
        <w:spacing w:after="0" w:line="360" w:lineRule="auto"/>
        <w:jc w:val="both"/>
        <w:rPr>
          <w:rFonts w:ascii="Arial" w:eastAsia="SimSun" w:hAnsi="Arial" w:cs="Arial"/>
          <w:b/>
          <w:color w:val="000000" w:themeColor="text1"/>
          <w:kern w:val="1"/>
        </w:rPr>
      </w:pPr>
      <w:r w:rsidRPr="002603EC">
        <w:rPr>
          <w:rFonts w:ascii="Arial" w:eastAsia="SimSun" w:hAnsi="Arial" w:cs="Arial"/>
          <w:b/>
          <w:color w:val="000000" w:themeColor="text1"/>
          <w:kern w:val="1"/>
        </w:rPr>
        <w:t xml:space="preserve">Praha </w:t>
      </w:r>
      <w:r w:rsidR="004B0D3D">
        <w:rPr>
          <w:rFonts w:ascii="Arial" w:eastAsia="SimSun" w:hAnsi="Arial" w:cs="Arial"/>
          <w:b/>
          <w:color w:val="000000" w:themeColor="text1"/>
          <w:kern w:val="1"/>
        </w:rPr>
        <w:t>28</w:t>
      </w:r>
      <w:r w:rsidR="00122E6D">
        <w:rPr>
          <w:rFonts w:ascii="Arial" w:eastAsia="SimSun" w:hAnsi="Arial" w:cs="Arial"/>
          <w:b/>
          <w:color w:val="000000" w:themeColor="text1"/>
          <w:kern w:val="1"/>
        </w:rPr>
        <w:t>. července</w:t>
      </w:r>
      <w:r w:rsidR="001D7988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627790">
        <w:rPr>
          <w:rFonts w:ascii="Arial" w:eastAsia="SimSun" w:hAnsi="Arial" w:cs="Arial"/>
          <w:b/>
          <w:color w:val="000000" w:themeColor="text1"/>
          <w:kern w:val="1"/>
        </w:rPr>
        <w:t>–</w:t>
      </w:r>
      <w:r w:rsidR="0057145D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D82AEE">
        <w:rPr>
          <w:rFonts w:ascii="Arial" w:eastAsia="SimSun" w:hAnsi="Arial" w:cs="Arial"/>
          <w:b/>
          <w:color w:val="000000" w:themeColor="text1"/>
          <w:kern w:val="1"/>
        </w:rPr>
        <w:t>Přestože o</w:t>
      </w:r>
      <w:r w:rsidR="0057145D">
        <w:rPr>
          <w:rFonts w:ascii="Arial" w:eastAsia="SimSun" w:hAnsi="Arial" w:cs="Arial"/>
          <w:b/>
          <w:color w:val="000000" w:themeColor="text1"/>
          <w:kern w:val="1"/>
        </w:rPr>
        <w:t xml:space="preserve">bjem i počet výběrových řízení na státní zakázky v první polovině letošního roku oproti loňsku </w:t>
      </w:r>
      <w:r w:rsidR="00DB5326">
        <w:rPr>
          <w:rFonts w:ascii="Arial" w:eastAsia="SimSun" w:hAnsi="Arial" w:cs="Arial"/>
          <w:b/>
          <w:color w:val="000000" w:themeColor="text1"/>
          <w:kern w:val="1"/>
        </w:rPr>
        <w:t>po</w:t>
      </w:r>
      <w:r w:rsidR="0057145D">
        <w:rPr>
          <w:rFonts w:ascii="Arial" w:eastAsia="SimSun" w:hAnsi="Arial" w:cs="Arial"/>
          <w:b/>
          <w:color w:val="000000" w:themeColor="text1"/>
          <w:kern w:val="1"/>
        </w:rPr>
        <w:t>klesl</w:t>
      </w:r>
      <w:r w:rsidR="00DB5326">
        <w:rPr>
          <w:rFonts w:ascii="Arial" w:eastAsia="SimSun" w:hAnsi="Arial" w:cs="Arial"/>
          <w:b/>
          <w:color w:val="000000" w:themeColor="text1"/>
          <w:kern w:val="1"/>
        </w:rPr>
        <w:t>,</w:t>
      </w:r>
      <w:r w:rsidR="0057145D">
        <w:rPr>
          <w:rFonts w:ascii="Arial" w:eastAsia="SimSun" w:hAnsi="Arial" w:cs="Arial"/>
          <w:b/>
          <w:color w:val="000000" w:themeColor="text1"/>
          <w:kern w:val="1"/>
        </w:rPr>
        <w:t xml:space="preserve"> a to o 2,7 %</w:t>
      </w:r>
      <w:r w:rsidR="00DB5326">
        <w:rPr>
          <w:rFonts w:ascii="Arial" w:eastAsia="SimSun" w:hAnsi="Arial" w:cs="Arial"/>
          <w:b/>
          <w:color w:val="000000" w:themeColor="text1"/>
          <w:kern w:val="1"/>
        </w:rPr>
        <w:t>,</w:t>
      </w:r>
      <w:r w:rsidR="0057145D">
        <w:rPr>
          <w:rFonts w:ascii="Arial" w:eastAsia="SimSun" w:hAnsi="Arial" w:cs="Arial"/>
          <w:b/>
          <w:color w:val="000000" w:themeColor="text1"/>
          <w:kern w:val="1"/>
        </w:rPr>
        <w:t xml:space="preserve"> respektive o 4,4 %</w:t>
      </w:r>
      <w:r w:rsidR="00D82AEE">
        <w:rPr>
          <w:rFonts w:ascii="Arial" w:eastAsia="SimSun" w:hAnsi="Arial" w:cs="Arial"/>
          <w:b/>
          <w:color w:val="000000" w:themeColor="text1"/>
          <w:kern w:val="1"/>
        </w:rPr>
        <w:t>, byl n</w:t>
      </w:r>
      <w:r w:rsidR="0057145D">
        <w:rPr>
          <w:rFonts w:ascii="Arial" w:eastAsia="SimSun" w:hAnsi="Arial" w:cs="Arial"/>
          <w:b/>
          <w:color w:val="000000" w:themeColor="text1"/>
          <w:kern w:val="1"/>
        </w:rPr>
        <w:t>ejlepším měsícem z tohoto období jednoznačně červen</w:t>
      </w:r>
      <w:r w:rsidR="00D82AEE">
        <w:rPr>
          <w:rFonts w:ascii="Arial" w:eastAsia="SimSun" w:hAnsi="Arial" w:cs="Arial"/>
          <w:b/>
          <w:color w:val="000000" w:themeColor="text1"/>
          <w:kern w:val="1"/>
        </w:rPr>
        <w:t>.</w:t>
      </w:r>
      <w:r w:rsidR="0057145D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D82AEE">
        <w:rPr>
          <w:rFonts w:ascii="Arial" w:eastAsia="SimSun" w:hAnsi="Arial" w:cs="Arial"/>
          <w:b/>
          <w:color w:val="000000" w:themeColor="text1"/>
          <w:kern w:val="1"/>
        </w:rPr>
        <w:t>V červnu</w:t>
      </w:r>
      <w:r w:rsidR="0057145D">
        <w:rPr>
          <w:rFonts w:ascii="Arial" w:eastAsia="SimSun" w:hAnsi="Arial" w:cs="Arial"/>
          <w:b/>
          <w:color w:val="000000" w:themeColor="text1"/>
          <w:kern w:val="1"/>
        </w:rPr>
        <w:t xml:space="preserve"> investoři vypsali rekordní množství</w:t>
      </w:r>
      <w:r w:rsidR="00DB5326">
        <w:rPr>
          <w:rFonts w:ascii="Arial" w:eastAsia="SimSun" w:hAnsi="Arial" w:cs="Arial"/>
          <w:b/>
          <w:color w:val="000000" w:themeColor="text1"/>
          <w:kern w:val="1"/>
        </w:rPr>
        <w:t>,</w:t>
      </w:r>
      <w:r w:rsidR="0057145D">
        <w:rPr>
          <w:rFonts w:ascii="Arial" w:eastAsia="SimSun" w:hAnsi="Arial" w:cs="Arial"/>
          <w:b/>
          <w:color w:val="000000" w:themeColor="text1"/>
          <w:kern w:val="1"/>
        </w:rPr>
        <w:t xml:space="preserve"> ale i objem</w:t>
      </w:r>
      <w:r w:rsidR="00D82AEE">
        <w:rPr>
          <w:rFonts w:ascii="Arial" w:eastAsia="SimSun" w:hAnsi="Arial" w:cs="Arial"/>
          <w:b/>
          <w:color w:val="000000" w:themeColor="text1"/>
          <w:kern w:val="1"/>
        </w:rPr>
        <w:t>,</w:t>
      </w:r>
      <w:r w:rsidR="0057145D">
        <w:rPr>
          <w:rFonts w:ascii="Arial" w:eastAsia="SimSun" w:hAnsi="Arial" w:cs="Arial"/>
          <w:b/>
          <w:color w:val="000000" w:themeColor="text1"/>
          <w:kern w:val="1"/>
        </w:rPr>
        <w:t xml:space="preserve"> soutěží. </w:t>
      </w:r>
      <w:r w:rsidR="00DC6643" w:rsidRPr="00DC6643">
        <w:rPr>
          <w:rFonts w:ascii="Arial" w:eastAsia="SimSun" w:hAnsi="Arial" w:cs="Arial"/>
          <w:b/>
          <w:color w:val="000000" w:themeColor="text1"/>
          <w:kern w:val="1"/>
        </w:rPr>
        <w:t xml:space="preserve">Vyplývá to z nejnovější analýzy zpracované analytickou společností CEEC Research na základě dat uveřejněných </w:t>
      </w:r>
      <w:r w:rsidR="00DB5326" w:rsidRPr="00DC6643">
        <w:rPr>
          <w:rFonts w:ascii="Arial" w:eastAsia="SimSun" w:hAnsi="Arial" w:cs="Arial"/>
          <w:b/>
          <w:color w:val="000000" w:themeColor="text1"/>
          <w:kern w:val="1"/>
        </w:rPr>
        <w:t>ve Věstníku veřejných zakázek</w:t>
      </w:r>
      <w:r w:rsidR="00DB5326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DC6643" w:rsidRPr="00DC6643">
        <w:rPr>
          <w:rFonts w:ascii="Arial" w:eastAsia="SimSun" w:hAnsi="Arial" w:cs="Arial"/>
          <w:b/>
          <w:color w:val="000000" w:themeColor="text1"/>
          <w:kern w:val="1"/>
        </w:rPr>
        <w:t xml:space="preserve">na konci </w:t>
      </w:r>
      <w:r w:rsidR="00DC6643">
        <w:rPr>
          <w:rFonts w:ascii="Arial" w:eastAsia="SimSun" w:hAnsi="Arial" w:cs="Arial"/>
          <w:b/>
          <w:color w:val="000000" w:themeColor="text1"/>
          <w:kern w:val="1"/>
        </w:rPr>
        <w:t xml:space="preserve">měsíce </w:t>
      </w:r>
      <w:r w:rsidR="00122E6D">
        <w:rPr>
          <w:rFonts w:ascii="Arial" w:eastAsia="SimSun" w:hAnsi="Arial" w:cs="Arial"/>
          <w:b/>
          <w:color w:val="000000" w:themeColor="text1"/>
          <w:kern w:val="1"/>
        </w:rPr>
        <w:t>června</w:t>
      </w:r>
      <w:r w:rsidR="000C7B62" w:rsidRPr="00DC6643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DC6643" w:rsidRPr="00DC6643">
        <w:rPr>
          <w:rFonts w:ascii="Arial" w:eastAsia="SimSun" w:hAnsi="Arial" w:cs="Arial"/>
          <w:b/>
          <w:color w:val="000000" w:themeColor="text1"/>
          <w:kern w:val="1"/>
        </w:rPr>
        <w:t>2015</w:t>
      </w:r>
      <w:r w:rsidR="00DB5326">
        <w:rPr>
          <w:rFonts w:ascii="Arial" w:eastAsia="SimSun" w:hAnsi="Arial" w:cs="Arial"/>
          <w:b/>
          <w:color w:val="000000" w:themeColor="text1"/>
          <w:kern w:val="1"/>
        </w:rPr>
        <w:t>.</w:t>
      </w:r>
    </w:p>
    <w:p w:rsidR="009522FC" w:rsidRDefault="009522FC" w:rsidP="0054748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60C25" w:rsidRDefault="00122E6D" w:rsidP="00122E6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Zakázky za rekordních 61,6 miliard korun vypsaly státní instituce v červnu letošního roku. Objem výrazně ovlivnily tři velké zakázky společnosti ČEPRO za celkem 37,2 miliardy korun</w:t>
      </w:r>
      <w:r w:rsidR="00D82AEE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="00D82AEE">
        <w:rPr>
          <w:rFonts w:ascii="Arial" w:hAnsi="Arial" w:cs="Arial"/>
          <w:color w:val="000000" w:themeColor="text1"/>
        </w:rPr>
        <w:t>P</w:t>
      </w:r>
      <w:r>
        <w:rPr>
          <w:rFonts w:ascii="Arial" w:hAnsi="Arial" w:cs="Arial"/>
          <w:color w:val="000000" w:themeColor="text1"/>
        </w:rPr>
        <w:t>okud bychom tyto zakázky modelově odečetli, zjistili bychom, že i přesto byl červen na oznamování zakázek nejlepším měsícem letošního roku. To potvrzuje i celkem 795 vypsaných soutěží.</w:t>
      </w:r>
    </w:p>
    <w:p w:rsidR="00122E6D" w:rsidRDefault="00122E6D" w:rsidP="00122E6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22E6D" w:rsidRPr="00865A71" w:rsidRDefault="00122E6D" w:rsidP="00122E6D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 první pololetí letošního roku se ale objem i počet vypsaných výběrových řízení lehce </w:t>
      </w:r>
      <w:r w:rsidR="00DB5326">
        <w:rPr>
          <w:rFonts w:ascii="Arial" w:hAnsi="Arial" w:cs="Arial"/>
          <w:color w:val="000000" w:themeColor="text1"/>
        </w:rPr>
        <w:t>snížil</w:t>
      </w:r>
      <w:r>
        <w:rPr>
          <w:rFonts w:ascii="Arial" w:hAnsi="Arial" w:cs="Arial"/>
          <w:color w:val="000000" w:themeColor="text1"/>
        </w:rPr>
        <w:t xml:space="preserve">. Veřejní investoři připravili soutěže za celkem 159 miliard korun, což představuje pokles o 2,7 procenta. </w:t>
      </w:r>
      <w:r w:rsidR="004B0D3D" w:rsidRPr="004B0D3D">
        <w:rPr>
          <w:rFonts w:ascii="Arial" w:hAnsi="Arial" w:cs="Arial"/>
          <w:i/>
          <w:color w:val="000000" w:themeColor="text1"/>
        </w:rPr>
        <w:t>„</w:t>
      </w:r>
      <w:r w:rsidRPr="004B0D3D">
        <w:rPr>
          <w:rFonts w:ascii="Arial" w:hAnsi="Arial" w:cs="Arial"/>
          <w:i/>
          <w:color w:val="000000" w:themeColor="text1"/>
        </w:rPr>
        <w:t>V porovnání se stejným obdobím loňského roku klesl také počet oznámených zakázek</w:t>
      </w:r>
      <w:r w:rsidR="00DB5326" w:rsidRPr="004B0D3D">
        <w:rPr>
          <w:rFonts w:ascii="Arial" w:hAnsi="Arial" w:cs="Arial"/>
          <w:i/>
          <w:color w:val="000000" w:themeColor="text1"/>
        </w:rPr>
        <w:t>,</w:t>
      </w:r>
      <w:r w:rsidRPr="004B0D3D">
        <w:rPr>
          <w:rFonts w:ascii="Arial" w:hAnsi="Arial" w:cs="Arial"/>
          <w:i/>
          <w:color w:val="000000" w:themeColor="text1"/>
        </w:rPr>
        <w:t xml:space="preserve"> a to o 4,4 procenta</w:t>
      </w:r>
      <w:r w:rsidR="00DB5326" w:rsidRPr="004B0D3D">
        <w:rPr>
          <w:rFonts w:ascii="Arial" w:hAnsi="Arial" w:cs="Arial"/>
          <w:i/>
          <w:color w:val="000000" w:themeColor="text1"/>
        </w:rPr>
        <w:t>,</w:t>
      </w:r>
      <w:r w:rsidR="00F313A6">
        <w:rPr>
          <w:rFonts w:ascii="Arial" w:hAnsi="Arial" w:cs="Arial"/>
          <w:i/>
          <w:color w:val="000000" w:themeColor="text1"/>
        </w:rPr>
        <w:t xml:space="preserve"> na 4</w:t>
      </w:r>
      <w:bookmarkStart w:id="0" w:name="_GoBack"/>
      <w:bookmarkEnd w:id="0"/>
      <w:r w:rsidRPr="004B0D3D">
        <w:rPr>
          <w:rFonts w:ascii="Arial" w:hAnsi="Arial" w:cs="Arial"/>
          <w:i/>
          <w:color w:val="000000" w:themeColor="text1"/>
        </w:rPr>
        <w:t>141</w:t>
      </w:r>
      <w:r w:rsidR="00DB5326" w:rsidRPr="004B0D3D">
        <w:rPr>
          <w:rFonts w:ascii="Arial" w:hAnsi="Arial" w:cs="Arial"/>
          <w:i/>
          <w:color w:val="000000" w:themeColor="text1"/>
        </w:rPr>
        <w:t xml:space="preserve"> zakázek</w:t>
      </w:r>
      <w:r w:rsidR="004B0D3D" w:rsidRPr="004B0D3D">
        <w:rPr>
          <w:rFonts w:ascii="Arial" w:hAnsi="Arial" w:cs="Arial"/>
          <w:i/>
          <w:color w:val="000000" w:themeColor="text1"/>
        </w:rPr>
        <w:t>,“</w:t>
      </w:r>
      <w:r w:rsidR="004B0D3D">
        <w:rPr>
          <w:rFonts w:ascii="Arial" w:hAnsi="Arial" w:cs="Arial"/>
          <w:color w:val="000000" w:themeColor="text1"/>
        </w:rPr>
        <w:t xml:space="preserve"> doplňuje </w:t>
      </w:r>
      <w:r w:rsidR="004B0D3D" w:rsidRPr="004B0D3D">
        <w:rPr>
          <w:rFonts w:ascii="Arial" w:hAnsi="Arial" w:cs="Arial"/>
          <w:b/>
          <w:i/>
          <w:color w:val="000000" w:themeColor="text1"/>
        </w:rPr>
        <w:t>ředitel analytické společnosti CEEC Research Jiří Vacek.</w:t>
      </w:r>
      <w:r w:rsidR="004B0D3D">
        <w:rPr>
          <w:rFonts w:ascii="Arial" w:hAnsi="Arial" w:cs="Arial"/>
          <w:color w:val="000000" w:themeColor="text1"/>
        </w:rPr>
        <w:t xml:space="preserve"> </w:t>
      </w:r>
      <w:r w:rsidR="00865A71" w:rsidRPr="00865A71">
        <w:rPr>
          <w:rFonts w:ascii="Arial" w:hAnsi="Arial" w:cs="Arial"/>
          <w:i/>
          <w:color w:val="000000" w:themeColor="text1"/>
        </w:rPr>
        <w:t xml:space="preserve">„Investice státu jsou důležité pro nastartování kladného přístupu lidí k utrácení. Pokud by trend propadů i nadále pokračoval, mohlo by to uškodit i firmám, které </w:t>
      </w:r>
      <w:r w:rsidR="004B0D3D">
        <w:rPr>
          <w:rFonts w:ascii="Arial" w:hAnsi="Arial" w:cs="Arial"/>
          <w:i/>
          <w:color w:val="000000" w:themeColor="text1"/>
        </w:rPr>
        <w:t>jsou nezávislé</w:t>
      </w:r>
      <w:r w:rsidR="004B0D3D" w:rsidRPr="00865A71">
        <w:rPr>
          <w:rFonts w:ascii="Arial" w:hAnsi="Arial" w:cs="Arial"/>
          <w:i/>
          <w:color w:val="000000" w:themeColor="text1"/>
        </w:rPr>
        <w:t xml:space="preserve"> </w:t>
      </w:r>
      <w:r w:rsidR="00865A71" w:rsidRPr="00865A71">
        <w:rPr>
          <w:rFonts w:ascii="Arial" w:hAnsi="Arial" w:cs="Arial"/>
          <w:i/>
          <w:color w:val="000000" w:themeColor="text1"/>
        </w:rPr>
        <w:t>na veřejných zakázkách,“</w:t>
      </w:r>
      <w:r w:rsidR="00865A71" w:rsidRPr="00865A71">
        <w:t xml:space="preserve"> </w:t>
      </w:r>
      <w:r w:rsidR="00865A71" w:rsidRPr="00865A71">
        <w:rPr>
          <w:rFonts w:ascii="Arial" w:hAnsi="Arial" w:cs="Arial"/>
          <w:color w:val="000000" w:themeColor="text1"/>
        </w:rPr>
        <w:t xml:space="preserve">říká </w:t>
      </w:r>
      <w:r w:rsidR="00865A71" w:rsidRPr="00865A71">
        <w:rPr>
          <w:rFonts w:ascii="Arial" w:hAnsi="Arial" w:cs="Arial"/>
          <w:b/>
          <w:i/>
          <w:color w:val="000000" w:themeColor="text1"/>
        </w:rPr>
        <w:t xml:space="preserve">ředitel developerské společnosti </w:t>
      </w:r>
      <w:proofErr w:type="spellStart"/>
      <w:r w:rsidR="00865A71" w:rsidRPr="00865A71">
        <w:rPr>
          <w:rFonts w:ascii="Arial" w:hAnsi="Arial" w:cs="Arial"/>
          <w:b/>
          <w:i/>
          <w:color w:val="000000" w:themeColor="text1"/>
        </w:rPr>
        <w:t>O.M.C.Invest</w:t>
      </w:r>
      <w:proofErr w:type="spellEnd"/>
      <w:r w:rsidR="00865A71" w:rsidRPr="00865A71">
        <w:rPr>
          <w:rFonts w:ascii="Arial" w:hAnsi="Arial" w:cs="Arial"/>
          <w:b/>
          <w:i/>
          <w:color w:val="000000" w:themeColor="text1"/>
        </w:rPr>
        <w:t>, Mário Červenka.</w:t>
      </w:r>
    </w:p>
    <w:p w:rsidR="00122E6D" w:rsidRDefault="00122E6D" w:rsidP="00122E6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22E6D" w:rsidRDefault="00122E6D" w:rsidP="00122E6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Necelou polovinu (42 procent) soutěží </w:t>
      </w:r>
      <w:r w:rsidR="00DB5326">
        <w:rPr>
          <w:rFonts w:ascii="Arial" w:hAnsi="Arial" w:cs="Arial"/>
          <w:color w:val="000000" w:themeColor="text1"/>
        </w:rPr>
        <w:t xml:space="preserve">vypsaly </w:t>
      </w:r>
      <w:r>
        <w:rPr>
          <w:rFonts w:ascii="Arial" w:hAnsi="Arial" w:cs="Arial"/>
          <w:color w:val="000000" w:themeColor="text1"/>
        </w:rPr>
        <w:t xml:space="preserve">v uvedených měsících ostatní subjekty, mezi </w:t>
      </w:r>
      <w:r w:rsidR="00DB5326">
        <w:rPr>
          <w:rFonts w:ascii="Arial" w:hAnsi="Arial" w:cs="Arial"/>
          <w:color w:val="000000" w:themeColor="text1"/>
        </w:rPr>
        <w:t xml:space="preserve">něž </w:t>
      </w:r>
      <w:r>
        <w:rPr>
          <w:rFonts w:ascii="Arial" w:hAnsi="Arial" w:cs="Arial"/>
          <w:color w:val="000000" w:themeColor="text1"/>
        </w:rPr>
        <w:t xml:space="preserve">patří </w:t>
      </w:r>
      <w:r w:rsidRPr="00122E6D">
        <w:rPr>
          <w:rFonts w:ascii="Arial" w:hAnsi="Arial" w:cs="Arial"/>
          <w:color w:val="000000" w:themeColor="text1"/>
        </w:rPr>
        <w:t>školy, nemocnice, církevní i</w:t>
      </w:r>
      <w:r>
        <w:rPr>
          <w:rFonts w:ascii="Arial" w:hAnsi="Arial" w:cs="Arial"/>
          <w:color w:val="000000" w:themeColor="text1"/>
        </w:rPr>
        <w:t xml:space="preserve">nstituce, svazy a fyzické osoby, </w:t>
      </w:r>
      <w:r w:rsidRPr="00122E6D">
        <w:rPr>
          <w:rFonts w:ascii="Arial" w:hAnsi="Arial" w:cs="Arial"/>
          <w:color w:val="000000" w:themeColor="text1"/>
        </w:rPr>
        <w:t xml:space="preserve">ČEPRO, ČEPS, České dráhy, OKD a </w:t>
      </w:r>
      <w:r w:rsidR="00DB5326">
        <w:rPr>
          <w:rFonts w:ascii="Arial" w:hAnsi="Arial" w:cs="Arial"/>
          <w:color w:val="000000" w:themeColor="text1"/>
        </w:rPr>
        <w:t>další</w:t>
      </w:r>
      <w:r w:rsidR="00DB5326" w:rsidRPr="00122E6D">
        <w:rPr>
          <w:rFonts w:ascii="Arial" w:hAnsi="Arial" w:cs="Arial"/>
          <w:color w:val="000000" w:themeColor="text1"/>
        </w:rPr>
        <w:t xml:space="preserve"> </w:t>
      </w:r>
      <w:r w:rsidRPr="00122E6D">
        <w:rPr>
          <w:rFonts w:ascii="Arial" w:hAnsi="Arial" w:cs="Arial"/>
          <w:color w:val="000000" w:themeColor="text1"/>
        </w:rPr>
        <w:t>akciové společnosti a společnosti s ručením omezeným</w:t>
      </w:r>
      <w:r>
        <w:rPr>
          <w:rFonts w:ascii="Arial" w:hAnsi="Arial" w:cs="Arial"/>
          <w:color w:val="000000" w:themeColor="text1"/>
        </w:rPr>
        <w:t xml:space="preserve">. </w:t>
      </w:r>
      <w:r w:rsidR="009B0A00">
        <w:rPr>
          <w:rFonts w:ascii="Arial" w:hAnsi="Arial" w:cs="Arial"/>
          <w:color w:val="000000" w:themeColor="text1"/>
        </w:rPr>
        <w:t>Třetina (33 procent) zakázek vznikla v kancelářích regionálních úřadů a sdružení</w:t>
      </w:r>
      <w:r w:rsidR="00DB5326">
        <w:rPr>
          <w:rFonts w:ascii="Arial" w:hAnsi="Arial" w:cs="Arial"/>
          <w:color w:val="000000" w:themeColor="text1"/>
        </w:rPr>
        <w:t>,</w:t>
      </w:r>
      <w:r w:rsidR="009B0A00">
        <w:rPr>
          <w:rFonts w:ascii="Arial" w:hAnsi="Arial" w:cs="Arial"/>
          <w:color w:val="000000" w:themeColor="text1"/>
        </w:rPr>
        <w:t xml:space="preserve"> jako jsou </w:t>
      </w:r>
      <w:r w:rsidRPr="00122E6D">
        <w:rPr>
          <w:rFonts w:ascii="Arial" w:hAnsi="Arial" w:cs="Arial"/>
          <w:color w:val="000000" w:themeColor="text1"/>
        </w:rPr>
        <w:t>kraje, města, obce, regionální úřady</w:t>
      </w:r>
      <w:r w:rsidR="00DB5326">
        <w:rPr>
          <w:rFonts w:ascii="Arial" w:hAnsi="Arial" w:cs="Arial"/>
          <w:color w:val="000000" w:themeColor="text1"/>
        </w:rPr>
        <w:t>,</w:t>
      </w:r>
      <w:r w:rsidRPr="00122E6D">
        <w:rPr>
          <w:rFonts w:ascii="Arial" w:hAnsi="Arial" w:cs="Arial"/>
          <w:color w:val="000000" w:themeColor="text1"/>
        </w:rPr>
        <w:t xml:space="preserve"> správy komunikací a</w:t>
      </w:r>
      <w:r w:rsidR="00DB5326">
        <w:rPr>
          <w:rFonts w:ascii="Arial" w:hAnsi="Arial" w:cs="Arial"/>
          <w:color w:val="000000" w:themeColor="text1"/>
        </w:rPr>
        <w:t>td.</w:t>
      </w:r>
      <w:r w:rsidRPr="00122E6D">
        <w:rPr>
          <w:rFonts w:ascii="Arial" w:hAnsi="Arial" w:cs="Arial"/>
          <w:color w:val="000000" w:themeColor="text1"/>
        </w:rPr>
        <w:t xml:space="preserve">. Zbytek oznámení o zakázce </w:t>
      </w:r>
      <w:r w:rsidR="009B0A00">
        <w:rPr>
          <w:rFonts w:ascii="Arial" w:hAnsi="Arial" w:cs="Arial"/>
          <w:color w:val="000000" w:themeColor="text1"/>
        </w:rPr>
        <w:t xml:space="preserve">vypsaly </w:t>
      </w:r>
      <w:r w:rsidR="00DB5326">
        <w:rPr>
          <w:rFonts w:ascii="Arial" w:hAnsi="Arial" w:cs="Arial"/>
          <w:color w:val="000000" w:themeColor="text1"/>
        </w:rPr>
        <w:t xml:space="preserve">státní </w:t>
      </w:r>
      <w:r w:rsidR="009B0A00">
        <w:rPr>
          <w:rFonts w:ascii="Arial" w:hAnsi="Arial" w:cs="Arial"/>
          <w:color w:val="000000" w:themeColor="text1"/>
        </w:rPr>
        <w:t>subjekty</w:t>
      </w:r>
      <w:r w:rsidR="00DB5326">
        <w:rPr>
          <w:rFonts w:ascii="Arial" w:hAnsi="Arial" w:cs="Arial"/>
          <w:color w:val="000000" w:themeColor="text1"/>
        </w:rPr>
        <w:t>,</w:t>
      </w:r>
      <w:r w:rsidR="009B0A00">
        <w:rPr>
          <w:rFonts w:ascii="Arial" w:hAnsi="Arial" w:cs="Arial"/>
          <w:color w:val="000000" w:themeColor="text1"/>
        </w:rPr>
        <w:t xml:space="preserve"> mezi </w:t>
      </w:r>
      <w:r w:rsidR="00DB5326">
        <w:rPr>
          <w:rFonts w:ascii="Arial" w:hAnsi="Arial" w:cs="Arial"/>
          <w:color w:val="000000" w:themeColor="text1"/>
        </w:rPr>
        <w:t>n</w:t>
      </w:r>
      <w:r w:rsidR="00751610">
        <w:rPr>
          <w:rFonts w:ascii="Arial" w:hAnsi="Arial" w:cs="Arial"/>
          <w:color w:val="000000" w:themeColor="text1"/>
        </w:rPr>
        <w:t>ě</w:t>
      </w:r>
      <w:r w:rsidR="00DB5326">
        <w:rPr>
          <w:rFonts w:ascii="Arial" w:hAnsi="Arial" w:cs="Arial"/>
          <w:color w:val="000000" w:themeColor="text1"/>
        </w:rPr>
        <w:t>ž patří</w:t>
      </w:r>
      <w:r w:rsidR="00DB5326" w:rsidRPr="00122E6D">
        <w:rPr>
          <w:rFonts w:ascii="Arial" w:hAnsi="Arial" w:cs="Arial"/>
          <w:color w:val="000000" w:themeColor="text1"/>
        </w:rPr>
        <w:t xml:space="preserve"> </w:t>
      </w:r>
      <w:r w:rsidRPr="00122E6D">
        <w:rPr>
          <w:rFonts w:ascii="Arial" w:hAnsi="Arial" w:cs="Arial"/>
          <w:color w:val="000000" w:themeColor="text1"/>
        </w:rPr>
        <w:t>ministerstva a ostatní celost</w:t>
      </w:r>
      <w:r w:rsidR="009B0A00">
        <w:rPr>
          <w:rFonts w:ascii="Arial" w:hAnsi="Arial" w:cs="Arial"/>
          <w:color w:val="000000" w:themeColor="text1"/>
        </w:rPr>
        <w:t>átní úřady</w:t>
      </w:r>
      <w:r w:rsidR="00DB5326">
        <w:rPr>
          <w:rFonts w:ascii="Arial" w:hAnsi="Arial" w:cs="Arial"/>
          <w:color w:val="000000" w:themeColor="text1"/>
        </w:rPr>
        <w:t>,</w:t>
      </w:r>
      <w:r w:rsidR="009B0A00">
        <w:rPr>
          <w:rFonts w:ascii="Arial" w:hAnsi="Arial" w:cs="Arial"/>
          <w:color w:val="000000" w:themeColor="text1"/>
        </w:rPr>
        <w:t xml:space="preserve"> nebo státní podniky</w:t>
      </w:r>
      <w:r w:rsidR="00DB5326">
        <w:rPr>
          <w:rFonts w:ascii="Arial" w:hAnsi="Arial" w:cs="Arial"/>
          <w:color w:val="000000" w:themeColor="text1"/>
        </w:rPr>
        <w:t>,</w:t>
      </w:r>
      <w:r w:rsidR="009B0A00">
        <w:rPr>
          <w:rFonts w:ascii="Arial" w:hAnsi="Arial" w:cs="Arial"/>
          <w:color w:val="000000" w:themeColor="text1"/>
        </w:rPr>
        <w:t xml:space="preserve"> jako jsou </w:t>
      </w:r>
      <w:r w:rsidRPr="00122E6D">
        <w:rPr>
          <w:rFonts w:ascii="Arial" w:hAnsi="Arial" w:cs="Arial"/>
          <w:color w:val="000000" w:themeColor="text1"/>
        </w:rPr>
        <w:t>Česká pošta, Di</w:t>
      </w:r>
      <w:r w:rsidR="009B0A00">
        <w:rPr>
          <w:rFonts w:ascii="Arial" w:hAnsi="Arial" w:cs="Arial"/>
          <w:color w:val="000000" w:themeColor="text1"/>
        </w:rPr>
        <w:t>amo, Lesy České republiky</w:t>
      </w:r>
      <w:r w:rsidR="00DB5326">
        <w:rPr>
          <w:rFonts w:ascii="Arial" w:hAnsi="Arial" w:cs="Arial"/>
          <w:color w:val="000000" w:themeColor="text1"/>
        </w:rPr>
        <w:t>,</w:t>
      </w:r>
      <w:r w:rsidR="009B0A00">
        <w:rPr>
          <w:rFonts w:ascii="Arial" w:hAnsi="Arial" w:cs="Arial"/>
          <w:color w:val="000000" w:themeColor="text1"/>
        </w:rPr>
        <w:t xml:space="preserve"> atd.</w:t>
      </w:r>
      <w:r w:rsidR="008C68A1">
        <w:rPr>
          <w:rFonts w:ascii="Arial" w:hAnsi="Arial" w:cs="Arial"/>
          <w:color w:val="000000" w:themeColor="text1"/>
        </w:rPr>
        <w:t xml:space="preserve"> </w:t>
      </w:r>
      <w:r w:rsidR="008C68A1" w:rsidRPr="004B0D3D">
        <w:rPr>
          <w:rFonts w:ascii="Arial" w:hAnsi="Arial" w:cs="Arial"/>
          <w:i/>
          <w:color w:val="000000" w:themeColor="text1"/>
        </w:rPr>
        <w:t xml:space="preserve">„V oblasti našeho podnikání jsme v první polovině roku zaznamenali rostoucí zájem investorů o naše výrobky. Jako velký problém vnímám nedostatečnou informovanost veřejnosti a podporu státu v oblasti výměny stávajících </w:t>
      </w:r>
      <w:r w:rsidR="008C68A1" w:rsidRPr="004B0D3D">
        <w:rPr>
          <w:rFonts w:ascii="Arial" w:hAnsi="Arial" w:cs="Arial"/>
          <w:i/>
          <w:color w:val="000000" w:themeColor="text1"/>
        </w:rPr>
        <w:lastRenderedPageBreak/>
        <w:t>výtahů, které jsou v mnoha domech nevyhovující, ne-li nebezpečné,“</w:t>
      </w:r>
      <w:r w:rsidR="008C68A1" w:rsidRPr="004B0D3D">
        <w:rPr>
          <w:i/>
        </w:rPr>
        <w:t xml:space="preserve"> </w:t>
      </w:r>
      <w:r w:rsidR="008C68A1">
        <w:t xml:space="preserve">komentuje současný stav </w:t>
      </w:r>
      <w:r w:rsidR="008C68A1" w:rsidRPr="004B0D3D">
        <w:rPr>
          <w:rFonts w:ascii="Arial" w:hAnsi="Arial" w:cs="Arial"/>
          <w:b/>
          <w:i/>
          <w:color w:val="000000" w:themeColor="text1"/>
        </w:rPr>
        <w:t>Vladimír Steiner - provozní ředitel společnosti Schindler CZ.</w:t>
      </w:r>
    </w:p>
    <w:p w:rsidR="00122E6D" w:rsidRPr="002603EC" w:rsidRDefault="00122E6D" w:rsidP="00122E6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122E6D">
        <w:rPr>
          <w:rFonts w:ascii="Arial" w:hAnsi="Arial" w:cs="Arial"/>
          <w:color w:val="000000" w:themeColor="text1"/>
        </w:rPr>
        <w:t xml:space="preserve"> </w:t>
      </w:r>
    </w:p>
    <w:p w:rsidR="009B0A00" w:rsidRDefault="009B0A00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Téměř totožné rozdělení vyplynulo z analýzy zakázek z pohledu objemu. N</w:t>
      </w:r>
      <w:r w:rsidRPr="009B0A00">
        <w:rPr>
          <w:rFonts w:ascii="Arial" w:hAnsi="Arial" w:cs="Arial"/>
          <w:color w:val="000000" w:themeColor="text1"/>
        </w:rPr>
        <w:t xml:space="preserve">ejvětší podíl </w:t>
      </w:r>
      <w:r>
        <w:rPr>
          <w:rFonts w:ascii="Arial" w:hAnsi="Arial" w:cs="Arial"/>
          <w:color w:val="000000" w:themeColor="text1"/>
        </w:rPr>
        <w:t>oznámily ostatní subjekty (47 procent</w:t>
      </w:r>
      <w:r w:rsidRPr="009B0A00">
        <w:rPr>
          <w:rFonts w:ascii="Arial" w:hAnsi="Arial" w:cs="Arial"/>
          <w:color w:val="000000" w:themeColor="text1"/>
        </w:rPr>
        <w:t xml:space="preserve">). </w:t>
      </w:r>
      <w:r>
        <w:rPr>
          <w:rFonts w:ascii="Arial" w:hAnsi="Arial" w:cs="Arial"/>
          <w:color w:val="000000" w:themeColor="text1"/>
        </w:rPr>
        <w:t>Druhý největší objem investic naplánovala m</w:t>
      </w:r>
      <w:r w:rsidRPr="009B0A00">
        <w:rPr>
          <w:rFonts w:ascii="Arial" w:hAnsi="Arial" w:cs="Arial"/>
          <w:color w:val="000000" w:themeColor="text1"/>
        </w:rPr>
        <w:t xml:space="preserve">inisterstva a celostátní úřady (27 </w:t>
      </w:r>
      <w:r>
        <w:rPr>
          <w:rFonts w:ascii="Arial" w:hAnsi="Arial" w:cs="Arial"/>
          <w:color w:val="000000" w:themeColor="text1"/>
        </w:rPr>
        <w:t>procent</w:t>
      </w:r>
      <w:r w:rsidRPr="009B0A00">
        <w:rPr>
          <w:rFonts w:ascii="Arial" w:hAnsi="Arial" w:cs="Arial"/>
          <w:color w:val="000000" w:themeColor="text1"/>
        </w:rPr>
        <w:t xml:space="preserve">). </w:t>
      </w:r>
      <w:r>
        <w:rPr>
          <w:rFonts w:ascii="Arial" w:hAnsi="Arial" w:cs="Arial"/>
          <w:color w:val="000000" w:themeColor="text1"/>
        </w:rPr>
        <w:t xml:space="preserve">Pětinu zakázek vyhlásily regionální úřady a sdružení. </w:t>
      </w:r>
    </w:p>
    <w:p w:rsidR="009B0A00" w:rsidRDefault="009B0A00" w:rsidP="009B0A00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cs-CZ"/>
        </w:rPr>
        <w:drawing>
          <wp:inline distT="0" distB="0" distL="0" distR="0" wp14:anchorId="4DDCD48D" wp14:editId="2BD30090">
            <wp:extent cx="3666490" cy="2390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A00" w:rsidRDefault="009B0A00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B0A00" w:rsidRDefault="009B0A00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Meziroční srovnán</w:t>
      </w:r>
      <w:r w:rsidR="00A1773E">
        <w:rPr>
          <w:rFonts w:ascii="Arial" w:hAnsi="Arial" w:cs="Arial"/>
          <w:color w:val="000000" w:themeColor="text1"/>
        </w:rPr>
        <w:t>í</w:t>
      </w:r>
      <w:r>
        <w:rPr>
          <w:rFonts w:ascii="Arial" w:hAnsi="Arial" w:cs="Arial"/>
          <w:color w:val="000000" w:themeColor="text1"/>
        </w:rPr>
        <w:t xml:space="preserve"> počtu i objemu oznámení o veřejných zakázkách je zřejmé z níže přiložené tabulky.</w:t>
      </w:r>
    </w:p>
    <w:p w:rsidR="009B0A00" w:rsidRDefault="009B0A00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B0A00" w:rsidRPr="009B0A00" w:rsidRDefault="009B0A00" w:rsidP="009B0A00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9B0A00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 xml:space="preserve">Meziroční změny oznámení o zakázce </w:t>
      </w:r>
      <w:r w:rsidRPr="009B0A0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 lednu až červnu 2015 </w:t>
      </w:r>
      <w:r w:rsidRPr="009B0A00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podle druhu zadavatele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1449"/>
        <w:gridCol w:w="1454"/>
        <w:gridCol w:w="1449"/>
        <w:gridCol w:w="1454"/>
      </w:tblGrid>
      <w:tr w:rsidR="009B0A00" w:rsidRPr="009B0A00" w:rsidTr="005E265A">
        <w:trPr>
          <w:cantSplit/>
          <w:trHeight w:val="342"/>
        </w:trPr>
        <w:tc>
          <w:tcPr>
            <w:tcW w:w="3240" w:type="dxa"/>
            <w:vMerge w:val="restart"/>
            <w:tcBorders>
              <w:top w:val="nil"/>
              <w:left w:val="nil"/>
            </w:tcBorders>
            <w:vAlign w:val="center"/>
          </w:tcPr>
          <w:p w:rsidR="009B0A00" w:rsidRPr="009B0A00" w:rsidRDefault="009B0A00" w:rsidP="009B0A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B0A00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Zakázky celkem</w:t>
            </w:r>
          </w:p>
        </w:tc>
        <w:tc>
          <w:tcPr>
            <w:tcW w:w="5900" w:type="dxa"/>
            <w:gridSpan w:val="4"/>
            <w:vAlign w:val="center"/>
          </w:tcPr>
          <w:p w:rsidR="009B0A00" w:rsidRPr="009B0A00" w:rsidRDefault="009B0A00" w:rsidP="009B0A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B0A00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Meziroční změna v %</w:t>
            </w:r>
          </w:p>
        </w:tc>
      </w:tr>
      <w:tr w:rsidR="009B0A00" w:rsidRPr="009B0A00" w:rsidTr="005E265A">
        <w:trPr>
          <w:cantSplit/>
          <w:trHeight w:val="342"/>
        </w:trPr>
        <w:tc>
          <w:tcPr>
            <w:tcW w:w="324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B0A00" w:rsidRPr="009B0A00" w:rsidRDefault="009B0A00" w:rsidP="009B0A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</w:p>
        </w:tc>
        <w:tc>
          <w:tcPr>
            <w:tcW w:w="295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B0A00" w:rsidRPr="009B0A00" w:rsidRDefault="009B0A00" w:rsidP="009B0A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B0A00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Počet</w:t>
            </w:r>
          </w:p>
        </w:tc>
        <w:tc>
          <w:tcPr>
            <w:tcW w:w="295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B0A00" w:rsidRPr="009B0A00" w:rsidRDefault="009B0A00" w:rsidP="009B0A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B0A00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Hodnota</w:t>
            </w:r>
          </w:p>
        </w:tc>
      </w:tr>
      <w:tr w:rsidR="009B0A00" w:rsidRPr="009B0A00" w:rsidTr="005E265A">
        <w:trPr>
          <w:trHeight w:val="342"/>
        </w:trPr>
        <w:tc>
          <w:tcPr>
            <w:tcW w:w="3240" w:type="dxa"/>
            <w:tcBorders>
              <w:bottom w:val="nil"/>
            </w:tcBorders>
            <w:vAlign w:val="center"/>
          </w:tcPr>
          <w:p w:rsidR="009B0A00" w:rsidRPr="009B0A00" w:rsidRDefault="009B0A00" w:rsidP="009B0A0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B0A0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Ministerstva a další celostátní úřady</w:t>
            </w:r>
          </w:p>
        </w:tc>
        <w:tc>
          <w:tcPr>
            <w:tcW w:w="1475" w:type="dxa"/>
            <w:tcBorders>
              <w:bottom w:val="nil"/>
              <w:right w:val="nil"/>
            </w:tcBorders>
            <w:vAlign w:val="center"/>
          </w:tcPr>
          <w:p w:rsidR="009B0A00" w:rsidRPr="009B0A00" w:rsidRDefault="009B0A00" w:rsidP="009B0A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9B0A00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475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9B0A00" w:rsidRPr="009B0A00" w:rsidRDefault="009B0A00" w:rsidP="009B0A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B0A00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+37,1</w:t>
            </w:r>
          </w:p>
        </w:tc>
        <w:tc>
          <w:tcPr>
            <w:tcW w:w="1475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9B0A00" w:rsidRPr="009B0A00" w:rsidRDefault="009B0A00" w:rsidP="009B0A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9B0A00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475" w:type="dxa"/>
            <w:tcBorders>
              <w:left w:val="nil"/>
              <w:bottom w:val="nil"/>
            </w:tcBorders>
            <w:vAlign w:val="center"/>
          </w:tcPr>
          <w:p w:rsidR="009B0A00" w:rsidRPr="009B0A00" w:rsidRDefault="009B0A00" w:rsidP="009B0A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B0A00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+52,3</w:t>
            </w:r>
          </w:p>
        </w:tc>
      </w:tr>
      <w:tr w:rsidR="009B0A00" w:rsidRPr="009B0A00" w:rsidTr="005E265A">
        <w:trPr>
          <w:trHeight w:val="342"/>
        </w:trPr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9B0A00" w:rsidRPr="009B0A00" w:rsidRDefault="009B0A00" w:rsidP="009B0A0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B0A0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Ostatní subjekty</w:t>
            </w: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  <w:vAlign w:val="center"/>
          </w:tcPr>
          <w:p w:rsidR="009B0A00" w:rsidRPr="009B0A00" w:rsidRDefault="009B0A00" w:rsidP="009B0A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9B0A00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B0A00" w:rsidRPr="009B0A00" w:rsidRDefault="009B0A00" w:rsidP="009B0A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B0A00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+1,9</w:t>
            </w:r>
          </w:p>
        </w:tc>
        <w:tc>
          <w:tcPr>
            <w:tcW w:w="147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B0A00" w:rsidRPr="009B0A00" w:rsidRDefault="009B0A00" w:rsidP="009B0A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9B0A00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  <w:vAlign w:val="center"/>
          </w:tcPr>
          <w:p w:rsidR="009B0A00" w:rsidRPr="009B0A00" w:rsidRDefault="009B0A00" w:rsidP="009B0A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B0A00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 xml:space="preserve"> -12,2</w:t>
            </w:r>
          </w:p>
        </w:tc>
      </w:tr>
      <w:tr w:rsidR="009B0A00" w:rsidRPr="009B0A00" w:rsidTr="005E265A">
        <w:trPr>
          <w:trHeight w:val="342"/>
        </w:trPr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9B0A00" w:rsidRPr="009B0A00" w:rsidRDefault="009B0A00" w:rsidP="009B0A0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B0A0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Regionální úřady a sdružení</w:t>
            </w: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  <w:vAlign w:val="center"/>
          </w:tcPr>
          <w:p w:rsidR="009B0A00" w:rsidRPr="009B0A00" w:rsidRDefault="009B0A00" w:rsidP="009B0A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9B0A00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B0A00" w:rsidRPr="009B0A00" w:rsidRDefault="009B0A00" w:rsidP="009B0A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B0A00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 xml:space="preserve">  -25,3</w:t>
            </w:r>
          </w:p>
        </w:tc>
        <w:tc>
          <w:tcPr>
            <w:tcW w:w="147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B0A00" w:rsidRPr="009B0A00" w:rsidRDefault="009B0A00" w:rsidP="009B0A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9B0A00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  <w:vAlign w:val="center"/>
          </w:tcPr>
          <w:p w:rsidR="009B0A00" w:rsidRPr="009B0A00" w:rsidRDefault="009B0A00" w:rsidP="009B0A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B0A00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 xml:space="preserve">   -27,5</w:t>
            </w:r>
          </w:p>
        </w:tc>
      </w:tr>
      <w:tr w:rsidR="009B0A00" w:rsidRPr="009B0A00" w:rsidTr="005E265A">
        <w:trPr>
          <w:trHeight w:val="342"/>
        </w:trPr>
        <w:tc>
          <w:tcPr>
            <w:tcW w:w="3240" w:type="dxa"/>
            <w:tcBorders>
              <w:top w:val="nil"/>
            </w:tcBorders>
            <w:vAlign w:val="center"/>
          </w:tcPr>
          <w:p w:rsidR="009B0A00" w:rsidRPr="009B0A00" w:rsidRDefault="009B0A00" w:rsidP="009B0A0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B0A0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Státní podniky</w:t>
            </w:r>
          </w:p>
        </w:tc>
        <w:tc>
          <w:tcPr>
            <w:tcW w:w="1475" w:type="dxa"/>
            <w:tcBorders>
              <w:top w:val="nil"/>
              <w:right w:val="nil"/>
            </w:tcBorders>
            <w:vAlign w:val="center"/>
          </w:tcPr>
          <w:p w:rsidR="009B0A00" w:rsidRPr="009B0A00" w:rsidRDefault="009B0A00" w:rsidP="009B0A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9B0A00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475" w:type="dxa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9B0A00" w:rsidRPr="009B0A00" w:rsidRDefault="009B0A00" w:rsidP="009B0A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B0A00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+15,5</w:t>
            </w:r>
          </w:p>
        </w:tc>
        <w:tc>
          <w:tcPr>
            <w:tcW w:w="1475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9B0A00" w:rsidRPr="009B0A00" w:rsidRDefault="009B0A00" w:rsidP="009B0A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9B0A00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475" w:type="dxa"/>
            <w:tcBorders>
              <w:top w:val="nil"/>
              <w:left w:val="nil"/>
            </w:tcBorders>
            <w:vAlign w:val="center"/>
          </w:tcPr>
          <w:p w:rsidR="009B0A00" w:rsidRPr="009B0A00" w:rsidRDefault="009B0A00" w:rsidP="009B0A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9B0A00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 xml:space="preserve"> +60,8</w:t>
            </w:r>
          </w:p>
        </w:tc>
      </w:tr>
      <w:tr w:rsidR="009B0A00" w:rsidRPr="009B0A00" w:rsidTr="005E265A">
        <w:trPr>
          <w:trHeight w:val="342"/>
        </w:trPr>
        <w:tc>
          <w:tcPr>
            <w:tcW w:w="3240" w:type="dxa"/>
            <w:vAlign w:val="center"/>
          </w:tcPr>
          <w:p w:rsidR="009B0A00" w:rsidRPr="009B0A00" w:rsidRDefault="009B0A00" w:rsidP="009B0A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B0A00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Celkem</w:t>
            </w:r>
          </w:p>
        </w:tc>
        <w:tc>
          <w:tcPr>
            <w:tcW w:w="1475" w:type="dxa"/>
            <w:tcBorders>
              <w:right w:val="nil"/>
            </w:tcBorders>
            <w:vAlign w:val="center"/>
          </w:tcPr>
          <w:p w:rsidR="009B0A00" w:rsidRPr="009B0A00" w:rsidRDefault="009B0A00" w:rsidP="009B0A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9B0A00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475" w:type="dxa"/>
            <w:tcBorders>
              <w:left w:val="nil"/>
              <w:right w:val="double" w:sz="4" w:space="0" w:color="auto"/>
            </w:tcBorders>
            <w:vAlign w:val="center"/>
          </w:tcPr>
          <w:p w:rsidR="009B0A00" w:rsidRPr="009B0A00" w:rsidRDefault="009B0A00" w:rsidP="009B0A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9B0A00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  <w:t>-4,4</w:t>
            </w:r>
          </w:p>
        </w:tc>
        <w:tc>
          <w:tcPr>
            <w:tcW w:w="1475" w:type="dxa"/>
            <w:tcBorders>
              <w:left w:val="double" w:sz="4" w:space="0" w:color="auto"/>
              <w:right w:val="nil"/>
            </w:tcBorders>
            <w:vAlign w:val="center"/>
          </w:tcPr>
          <w:p w:rsidR="009B0A00" w:rsidRPr="009B0A00" w:rsidRDefault="009B0A00" w:rsidP="009B0A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9B0A00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9B0A00" w:rsidRPr="009B0A00" w:rsidRDefault="009B0A00" w:rsidP="009B0A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9B0A00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  <w:t xml:space="preserve"> -2,7</w:t>
            </w:r>
          </w:p>
        </w:tc>
      </w:tr>
    </w:tbl>
    <w:p w:rsidR="009B0A00" w:rsidRPr="009B0A00" w:rsidRDefault="009B0A00" w:rsidP="009B0A00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  <w:r w:rsidRPr="009B0A00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9B0A00" w:rsidRPr="009B0A00" w:rsidRDefault="009B0A00" w:rsidP="009B0A00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u w:val="single"/>
          <w:lang w:eastAsia="cs-CZ"/>
        </w:rPr>
      </w:pPr>
    </w:p>
    <w:p w:rsidR="009B0A00" w:rsidRDefault="009B0A00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B0A00" w:rsidRDefault="009B0A00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 výše uvedených zakázek byla ještě před zadáním zrušena téměř desetina (8 procent objemu). Co se týká zadání konkrétní firmě, státní instituce už ukončil</w:t>
      </w:r>
      <w:r w:rsidR="00A1773E">
        <w:rPr>
          <w:rFonts w:ascii="Arial" w:hAnsi="Arial" w:cs="Arial"/>
          <w:color w:val="000000" w:themeColor="text1"/>
        </w:rPr>
        <w:t>y</w:t>
      </w:r>
      <w:r>
        <w:rPr>
          <w:rFonts w:ascii="Arial" w:hAnsi="Arial" w:cs="Arial"/>
          <w:color w:val="000000" w:themeColor="text1"/>
        </w:rPr>
        <w:t xml:space="preserve"> čtvrtinu (26 procent) vypsaných výběrových řízení. Jednalo se především o menší zakázky, jejich</w:t>
      </w:r>
      <w:r w:rsidR="00A1773E">
        <w:rPr>
          <w:rFonts w:ascii="Arial" w:hAnsi="Arial" w:cs="Arial"/>
          <w:color w:val="000000" w:themeColor="text1"/>
        </w:rPr>
        <w:t>ž</w:t>
      </w:r>
      <w:r>
        <w:rPr>
          <w:rFonts w:ascii="Arial" w:hAnsi="Arial" w:cs="Arial"/>
          <w:color w:val="000000" w:themeColor="text1"/>
        </w:rPr>
        <w:t xml:space="preserve"> celková hodnota </w:t>
      </w:r>
      <w:r>
        <w:rPr>
          <w:rFonts w:ascii="Arial" w:hAnsi="Arial" w:cs="Arial"/>
          <w:color w:val="000000" w:themeColor="text1"/>
        </w:rPr>
        <w:lastRenderedPageBreak/>
        <w:t>představov</w:t>
      </w:r>
      <w:r w:rsidR="00B63AC6">
        <w:rPr>
          <w:rFonts w:ascii="Arial" w:hAnsi="Arial" w:cs="Arial"/>
          <w:color w:val="000000" w:themeColor="text1"/>
        </w:rPr>
        <w:t>ala 13 procent celkového objemu</w:t>
      </w:r>
      <w:r w:rsidR="00A1773E">
        <w:rPr>
          <w:rFonts w:ascii="Arial" w:hAnsi="Arial" w:cs="Arial"/>
          <w:color w:val="000000" w:themeColor="text1"/>
        </w:rPr>
        <w:t>,</w:t>
      </w:r>
      <w:r w:rsidR="00B63AC6">
        <w:rPr>
          <w:rFonts w:ascii="Arial" w:hAnsi="Arial" w:cs="Arial"/>
          <w:color w:val="000000" w:themeColor="text1"/>
        </w:rPr>
        <w:t xml:space="preserve"> tedy 20 miliard korun. Firmy </w:t>
      </w:r>
      <w:proofErr w:type="spellStart"/>
      <w:r w:rsidR="00B63AC6">
        <w:rPr>
          <w:rFonts w:ascii="Arial" w:hAnsi="Arial" w:cs="Arial"/>
          <w:color w:val="000000" w:themeColor="text1"/>
        </w:rPr>
        <w:t>vysoutěžily</w:t>
      </w:r>
      <w:proofErr w:type="spellEnd"/>
      <w:r w:rsidR="00B63AC6">
        <w:rPr>
          <w:rFonts w:ascii="Arial" w:hAnsi="Arial" w:cs="Arial"/>
          <w:color w:val="000000" w:themeColor="text1"/>
        </w:rPr>
        <w:t xml:space="preserve"> </w:t>
      </w:r>
      <w:r w:rsidR="00A1773E">
        <w:rPr>
          <w:rFonts w:ascii="Arial" w:hAnsi="Arial" w:cs="Arial"/>
          <w:color w:val="000000" w:themeColor="text1"/>
        </w:rPr>
        <w:t xml:space="preserve">zakázky </w:t>
      </w:r>
      <w:r w:rsidR="00B63AC6">
        <w:rPr>
          <w:rFonts w:ascii="Arial" w:hAnsi="Arial" w:cs="Arial"/>
          <w:color w:val="000000" w:themeColor="text1"/>
        </w:rPr>
        <w:t>v průměru o 12 procent pod vypsanou hodnotou.</w:t>
      </w:r>
    </w:p>
    <w:p w:rsidR="00B63AC6" w:rsidRDefault="00B63AC6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B63AC6" w:rsidRDefault="00B63AC6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 první polovině letošního roku</w:t>
      </w:r>
      <w:r w:rsidRPr="00B63AC6">
        <w:rPr>
          <w:rFonts w:ascii="Arial" w:hAnsi="Arial" w:cs="Arial"/>
          <w:color w:val="000000" w:themeColor="text1"/>
        </w:rPr>
        <w:t xml:space="preserve"> bylo zatím zadá</w:t>
      </w:r>
      <w:r>
        <w:rPr>
          <w:rFonts w:ascii="Arial" w:hAnsi="Arial" w:cs="Arial"/>
          <w:color w:val="000000" w:themeColor="text1"/>
        </w:rPr>
        <w:t>no 6 266 zakázek, což je o 2,7 procenta</w:t>
      </w:r>
      <w:r w:rsidRPr="00B63AC6">
        <w:rPr>
          <w:rFonts w:ascii="Arial" w:hAnsi="Arial" w:cs="Arial"/>
          <w:color w:val="000000" w:themeColor="text1"/>
        </w:rPr>
        <w:t xml:space="preserve"> více</w:t>
      </w:r>
      <w:r w:rsidR="00A1773E">
        <w:rPr>
          <w:rFonts w:ascii="Arial" w:hAnsi="Arial" w:cs="Arial"/>
          <w:color w:val="000000" w:themeColor="text1"/>
        </w:rPr>
        <w:t>,</w:t>
      </w:r>
      <w:r w:rsidRPr="00B63AC6">
        <w:rPr>
          <w:rFonts w:ascii="Arial" w:hAnsi="Arial" w:cs="Arial"/>
          <w:color w:val="000000" w:themeColor="text1"/>
        </w:rPr>
        <w:t xml:space="preserve"> než v lednu až červnu 2014.</w:t>
      </w:r>
      <w:r>
        <w:rPr>
          <w:rFonts w:ascii="Arial" w:hAnsi="Arial" w:cs="Arial"/>
          <w:color w:val="000000" w:themeColor="text1"/>
        </w:rPr>
        <w:t xml:space="preserve"> </w:t>
      </w:r>
      <w:r w:rsidRPr="00B63AC6">
        <w:rPr>
          <w:rFonts w:ascii="Arial" w:hAnsi="Arial" w:cs="Arial"/>
          <w:color w:val="000000" w:themeColor="text1"/>
        </w:rPr>
        <w:t xml:space="preserve">Hodnota zakázek zadaných </w:t>
      </w:r>
      <w:r>
        <w:rPr>
          <w:rFonts w:ascii="Arial" w:hAnsi="Arial" w:cs="Arial"/>
          <w:color w:val="000000" w:themeColor="text1"/>
        </w:rPr>
        <w:t xml:space="preserve">v tomto období klesla oproti loňsku o 47 procent na 102,2 miliardy korun. </w:t>
      </w:r>
      <w:r w:rsidRPr="00B63AC6">
        <w:rPr>
          <w:rFonts w:ascii="Arial" w:hAnsi="Arial" w:cs="Arial"/>
          <w:color w:val="000000" w:themeColor="text1"/>
        </w:rPr>
        <w:t>Vývoj ale značně ovlivnily tři velké zakázky společnosti ČEPRO</w:t>
      </w:r>
      <w:r>
        <w:rPr>
          <w:rFonts w:ascii="Arial" w:hAnsi="Arial" w:cs="Arial"/>
          <w:color w:val="000000" w:themeColor="text1"/>
        </w:rPr>
        <w:t xml:space="preserve"> v celkové hodnotě téměř 90 miliard</w:t>
      </w:r>
      <w:r w:rsidR="00A1773E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ukončené v březnu a v dubnu loňského roku</w:t>
      </w:r>
      <w:r w:rsidRPr="00B63AC6">
        <w:rPr>
          <w:rFonts w:ascii="Arial" w:hAnsi="Arial" w:cs="Arial"/>
          <w:color w:val="000000" w:themeColor="text1"/>
        </w:rPr>
        <w:t xml:space="preserve">. Pokud bychom </w:t>
      </w:r>
      <w:r>
        <w:rPr>
          <w:rFonts w:ascii="Arial" w:hAnsi="Arial" w:cs="Arial"/>
          <w:color w:val="000000" w:themeColor="text1"/>
        </w:rPr>
        <w:t xml:space="preserve">tyto zakázky modelově vyloučili, zjistili bychom pokles objemu </w:t>
      </w:r>
      <w:r w:rsidRPr="00B63AC6">
        <w:rPr>
          <w:rFonts w:ascii="Arial" w:hAnsi="Arial" w:cs="Arial"/>
          <w:color w:val="000000" w:themeColor="text1"/>
        </w:rPr>
        <w:t xml:space="preserve">o 2,3 </w:t>
      </w:r>
      <w:r>
        <w:rPr>
          <w:rFonts w:ascii="Arial" w:hAnsi="Arial" w:cs="Arial"/>
          <w:color w:val="000000" w:themeColor="text1"/>
        </w:rPr>
        <w:t>procenta</w:t>
      </w:r>
      <w:r w:rsidRPr="00B63AC6">
        <w:rPr>
          <w:rFonts w:ascii="Arial" w:hAnsi="Arial" w:cs="Arial"/>
          <w:color w:val="000000" w:themeColor="text1"/>
        </w:rPr>
        <w:t>.</w:t>
      </w:r>
    </w:p>
    <w:p w:rsidR="009B0A00" w:rsidRDefault="009B0A00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B0A00" w:rsidRDefault="009B0A00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6C7464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C4B47">
        <w:rPr>
          <w:rFonts w:ascii="Arial" w:hAnsi="Arial" w:cs="Arial"/>
          <w:b/>
          <w:color w:val="000000" w:themeColor="text1"/>
        </w:rPr>
        <w:t xml:space="preserve">Více na </w:t>
      </w:r>
      <w:hyperlink r:id="rId8" w:history="1">
        <w:r w:rsidRPr="00FD72F5">
          <w:rPr>
            <w:rStyle w:val="Hypertextovodkaz"/>
            <w:rFonts w:ascii="Arial" w:hAnsi="Arial" w:cs="Arial"/>
            <w:b/>
          </w:rPr>
          <w:t>www.ceec.eu</w:t>
        </w:r>
      </w:hyperlink>
    </w:p>
    <w:p w:rsidR="00DC4B47" w:rsidRPr="00DC4B47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6C7464" w:rsidRDefault="006C7464" w:rsidP="006A6C4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b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t>Kontakt pro média:</w:t>
      </w: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br/>
      </w:r>
      <w:r w:rsidRPr="002603EC">
        <w:rPr>
          <w:rFonts w:ascii="Arial" w:hAnsi="Arial" w:cs="Arial"/>
          <w:color w:val="000000" w:themeColor="text1"/>
          <w:lang w:val="sk-SK"/>
        </w:rPr>
        <w:t xml:space="preserve">Alena </w:t>
      </w:r>
      <w:r w:rsidR="00B718C2" w:rsidRPr="002603EC">
        <w:rPr>
          <w:rFonts w:ascii="Arial" w:hAnsi="Arial" w:cs="Arial"/>
          <w:color w:val="000000" w:themeColor="text1"/>
          <w:lang w:val="sk-SK"/>
        </w:rPr>
        <w:t>Bradáčová</w:t>
      </w:r>
      <w:r w:rsidRPr="002603EC">
        <w:rPr>
          <w:rFonts w:ascii="Arial" w:hAnsi="Arial" w:cs="Arial"/>
          <w:color w:val="000000" w:themeColor="text1"/>
          <w:lang w:val="sk-SK"/>
        </w:rPr>
        <w:br/>
        <w:t>PR &amp; Communication Director</w:t>
      </w:r>
      <w:r w:rsidRPr="002603EC">
        <w:rPr>
          <w:rFonts w:ascii="Arial" w:hAnsi="Arial" w:cs="Arial"/>
          <w:color w:val="000000" w:themeColor="text1"/>
          <w:lang w:val="sk-SK"/>
        </w:rPr>
        <w:br/>
      </w:r>
      <w:r w:rsidR="00B718C2" w:rsidRPr="002603EC">
        <w:rPr>
          <w:rFonts w:ascii="Arial" w:hAnsi="Arial" w:cs="Arial"/>
          <w:color w:val="000000" w:themeColor="text1"/>
          <w:lang w:val="sk-SK"/>
        </w:rPr>
        <w:t>CEEC Research</w:t>
      </w:r>
      <w:r w:rsidR="00B718C2" w:rsidRPr="002603EC">
        <w:rPr>
          <w:rFonts w:ascii="Arial" w:hAnsi="Arial" w:cs="Arial"/>
          <w:color w:val="000000" w:themeColor="text1"/>
          <w:lang w:val="sk-SK"/>
        </w:rPr>
        <w:br/>
        <w:t>E-mail: bradacova</w:t>
      </w:r>
      <w:r w:rsidRPr="002603EC">
        <w:rPr>
          <w:rFonts w:ascii="Arial" w:hAnsi="Arial" w:cs="Arial"/>
          <w:color w:val="000000" w:themeColor="text1"/>
          <w:lang w:val="sk-SK"/>
        </w:rPr>
        <w:t>@ceec.eu</w:t>
      </w:r>
      <w:r w:rsidRPr="002603EC">
        <w:rPr>
          <w:rFonts w:ascii="Arial" w:hAnsi="Arial" w:cs="Arial"/>
          <w:color w:val="000000" w:themeColor="text1"/>
          <w:lang w:val="sk-SK"/>
        </w:rPr>
        <w:br/>
        <w:t>Tel.: +420 777 299</w:t>
      </w:r>
      <w:r w:rsidR="005F0F7B" w:rsidRPr="002603EC">
        <w:rPr>
          <w:rFonts w:ascii="Arial" w:hAnsi="Arial" w:cs="Arial"/>
          <w:color w:val="000000" w:themeColor="text1"/>
          <w:lang w:val="sk-SK"/>
        </w:rPr>
        <w:t> </w:t>
      </w:r>
      <w:r w:rsidRPr="002603EC">
        <w:rPr>
          <w:rFonts w:ascii="Arial" w:hAnsi="Arial" w:cs="Arial"/>
          <w:color w:val="000000" w:themeColor="text1"/>
          <w:lang w:val="sk-SK"/>
        </w:rPr>
        <w:t>790</w:t>
      </w:r>
    </w:p>
    <w:p w:rsidR="007C55A2" w:rsidRPr="002603EC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>CEEC Research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je největší analytickou společností specializující se na stavebnictví, projektový a developerský sektor, strojírenství a oblast veřejných zakázek v zemích střední a východní Evropy. Byla založena v roce 2005 a od té doby bezplatně poskytuje studie o aktuálním stavu a očekávaném vývoji v těchto segmentech v deseti zemích střední a východní Evropy. Všechny studie a analýzy CEEC Research jsou založen</w:t>
      </w:r>
      <w:r w:rsidR="007977DF">
        <w:rPr>
          <w:rFonts w:ascii="Arial" w:hAnsi="Arial" w:cs="Arial"/>
          <w:i/>
          <w:color w:val="000000" w:themeColor="text1"/>
          <w:sz w:val="16"/>
          <w:szCs w:val="16"/>
        </w:rPr>
        <w:t>é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výhradně na údajích získaných z pravidelných strukturovaných interview s klíčovými představiteli vybraných největších, středních i malých společností. </w:t>
      </w: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CEEC Research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navíc k pravidelným a bezplatným analýzám stavebního, projektového, d</w:t>
      </w:r>
      <w:r w:rsidR="00A906AF">
        <w:rPr>
          <w:rFonts w:ascii="Arial" w:hAnsi="Arial" w:cs="Arial"/>
          <w:i/>
          <w:color w:val="000000" w:themeColor="text1"/>
          <w:sz w:val="16"/>
          <w:szCs w:val="16"/>
        </w:rPr>
        <w:t>eveloperského, strojírenského a 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veřejného sektoru také organizuje 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specializovaně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zaměřené konference, kterých se účastní generální ředitelé nejvýznamnějš</w:t>
      </w:r>
      <w:r w:rsidR="006A23EE" w:rsidRPr="002603EC">
        <w:rPr>
          <w:rFonts w:ascii="Arial" w:hAnsi="Arial" w:cs="Arial"/>
          <w:i/>
          <w:color w:val="000000" w:themeColor="text1"/>
          <w:sz w:val="16"/>
          <w:szCs w:val="16"/>
        </w:rPr>
        <w:t>ích stavebních, developerských,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projektových a strojírenských společností, prezidenti svazů,</w:t>
      </w:r>
      <w:r w:rsidR="00F546D9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cechů a komor z těchto oblastí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aby diskutovali s nejvyššími představiteli státu vybraných zemí. </w:t>
      </w: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5F0F7B" w:rsidRPr="002603EC" w:rsidSect="00CB19AF">
      <w:headerReference w:type="default" r:id="rId9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7CF" w:rsidRDefault="00AC77CF" w:rsidP="00A76E50">
      <w:pPr>
        <w:spacing w:after="0" w:line="240" w:lineRule="auto"/>
      </w:pPr>
      <w:r>
        <w:separator/>
      </w:r>
    </w:p>
  </w:endnote>
  <w:endnote w:type="continuationSeparator" w:id="0">
    <w:p w:rsidR="00AC77CF" w:rsidRDefault="00AC77CF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7CF" w:rsidRDefault="00AC77CF" w:rsidP="00A76E50">
      <w:pPr>
        <w:spacing w:after="0" w:line="240" w:lineRule="auto"/>
      </w:pPr>
      <w:r>
        <w:separator/>
      </w:r>
    </w:p>
  </w:footnote>
  <w:footnote w:type="continuationSeparator" w:id="0">
    <w:p w:rsidR="00AC77CF" w:rsidRDefault="00AC77CF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B77" w:rsidRDefault="00E47B7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8FCA44" wp14:editId="284F8259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9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7B77" w:rsidRDefault="00E47B7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AC2D6D" w:rsidRPr="00AC2D6D" w:rsidRDefault="00AC2D6D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:rsidR="00E47B77" w:rsidRDefault="00E47B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A2"/>
    <w:rsid w:val="00001257"/>
    <w:rsid w:val="00002781"/>
    <w:rsid w:val="00003552"/>
    <w:rsid w:val="000039CF"/>
    <w:rsid w:val="00003FE0"/>
    <w:rsid w:val="000110D5"/>
    <w:rsid w:val="00012CB9"/>
    <w:rsid w:val="00016986"/>
    <w:rsid w:val="00027656"/>
    <w:rsid w:val="00030F20"/>
    <w:rsid w:val="0003155E"/>
    <w:rsid w:val="00034237"/>
    <w:rsid w:val="00040AF2"/>
    <w:rsid w:val="0004318D"/>
    <w:rsid w:val="000431B3"/>
    <w:rsid w:val="00052956"/>
    <w:rsid w:val="00053DE6"/>
    <w:rsid w:val="00055D25"/>
    <w:rsid w:val="00055FC7"/>
    <w:rsid w:val="000601B9"/>
    <w:rsid w:val="000633FF"/>
    <w:rsid w:val="00064569"/>
    <w:rsid w:val="0006538F"/>
    <w:rsid w:val="00067C5F"/>
    <w:rsid w:val="00072FDF"/>
    <w:rsid w:val="00072FE8"/>
    <w:rsid w:val="00073FC5"/>
    <w:rsid w:val="00076EE1"/>
    <w:rsid w:val="000803AD"/>
    <w:rsid w:val="00080FA0"/>
    <w:rsid w:val="000853CA"/>
    <w:rsid w:val="00092923"/>
    <w:rsid w:val="00093D49"/>
    <w:rsid w:val="000957C6"/>
    <w:rsid w:val="000A03AB"/>
    <w:rsid w:val="000A0C73"/>
    <w:rsid w:val="000A2E0E"/>
    <w:rsid w:val="000A593D"/>
    <w:rsid w:val="000B0EFB"/>
    <w:rsid w:val="000B2314"/>
    <w:rsid w:val="000B3A8B"/>
    <w:rsid w:val="000B5DD2"/>
    <w:rsid w:val="000C0093"/>
    <w:rsid w:val="000C079A"/>
    <w:rsid w:val="000C2B3C"/>
    <w:rsid w:val="000C4278"/>
    <w:rsid w:val="000C5911"/>
    <w:rsid w:val="000C7B62"/>
    <w:rsid w:val="000D031A"/>
    <w:rsid w:val="000D3395"/>
    <w:rsid w:val="000D45D3"/>
    <w:rsid w:val="000D5EC9"/>
    <w:rsid w:val="000E0FE0"/>
    <w:rsid w:val="000E13CB"/>
    <w:rsid w:val="000E18ED"/>
    <w:rsid w:val="000E620E"/>
    <w:rsid w:val="000E71B9"/>
    <w:rsid w:val="000F4820"/>
    <w:rsid w:val="000F58C9"/>
    <w:rsid w:val="000F5D71"/>
    <w:rsid w:val="001037D9"/>
    <w:rsid w:val="00104FFE"/>
    <w:rsid w:val="00106389"/>
    <w:rsid w:val="00110295"/>
    <w:rsid w:val="001111BA"/>
    <w:rsid w:val="001131DD"/>
    <w:rsid w:val="00113FDE"/>
    <w:rsid w:val="00116FFB"/>
    <w:rsid w:val="00121151"/>
    <w:rsid w:val="00122E6D"/>
    <w:rsid w:val="00125253"/>
    <w:rsid w:val="0012555E"/>
    <w:rsid w:val="00127951"/>
    <w:rsid w:val="00130900"/>
    <w:rsid w:val="001346AF"/>
    <w:rsid w:val="001350E0"/>
    <w:rsid w:val="00140F9C"/>
    <w:rsid w:val="00143695"/>
    <w:rsid w:val="001536EE"/>
    <w:rsid w:val="001566B9"/>
    <w:rsid w:val="00166DEA"/>
    <w:rsid w:val="00172C66"/>
    <w:rsid w:val="00180560"/>
    <w:rsid w:val="001854A9"/>
    <w:rsid w:val="0018743F"/>
    <w:rsid w:val="00196346"/>
    <w:rsid w:val="0019645D"/>
    <w:rsid w:val="001A281A"/>
    <w:rsid w:val="001A6A6E"/>
    <w:rsid w:val="001B76D5"/>
    <w:rsid w:val="001C6F33"/>
    <w:rsid w:val="001C7E05"/>
    <w:rsid w:val="001D014A"/>
    <w:rsid w:val="001D0C46"/>
    <w:rsid w:val="001D36EB"/>
    <w:rsid w:val="001D5798"/>
    <w:rsid w:val="001D649E"/>
    <w:rsid w:val="001D7988"/>
    <w:rsid w:val="001D7AEC"/>
    <w:rsid w:val="001E446E"/>
    <w:rsid w:val="001E715E"/>
    <w:rsid w:val="001F128B"/>
    <w:rsid w:val="001F22BC"/>
    <w:rsid w:val="00200D14"/>
    <w:rsid w:val="002021AC"/>
    <w:rsid w:val="00211533"/>
    <w:rsid w:val="00212725"/>
    <w:rsid w:val="00223578"/>
    <w:rsid w:val="002262A5"/>
    <w:rsid w:val="0023367D"/>
    <w:rsid w:val="00233D6F"/>
    <w:rsid w:val="002353AC"/>
    <w:rsid w:val="00237274"/>
    <w:rsid w:val="00253FC8"/>
    <w:rsid w:val="002560EF"/>
    <w:rsid w:val="00257FF1"/>
    <w:rsid w:val="002603EC"/>
    <w:rsid w:val="00260DD4"/>
    <w:rsid w:val="00263565"/>
    <w:rsid w:val="0026597A"/>
    <w:rsid w:val="002678EB"/>
    <w:rsid w:val="00271171"/>
    <w:rsid w:val="00275AD4"/>
    <w:rsid w:val="002818F3"/>
    <w:rsid w:val="00286E6D"/>
    <w:rsid w:val="0029141A"/>
    <w:rsid w:val="0029157C"/>
    <w:rsid w:val="00291BA0"/>
    <w:rsid w:val="00293553"/>
    <w:rsid w:val="00294841"/>
    <w:rsid w:val="002A05C0"/>
    <w:rsid w:val="002A0D8C"/>
    <w:rsid w:val="002A2466"/>
    <w:rsid w:val="002A6CC8"/>
    <w:rsid w:val="002A7D2C"/>
    <w:rsid w:val="002B1925"/>
    <w:rsid w:val="002B3053"/>
    <w:rsid w:val="002B69EB"/>
    <w:rsid w:val="002B7003"/>
    <w:rsid w:val="002C1116"/>
    <w:rsid w:val="002C2C67"/>
    <w:rsid w:val="002C376E"/>
    <w:rsid w:val="002C5F1D"/>
    <w:rsid w:val="002C6870"/>
    <w:rsid w:val="002D00D5"/>
    <w:rsid w:val="002D1D8C"/>
    <w:rsid w:val="002E1B68"/>
    <w:rsid w:val="002E1CCD"/>
    <w:rsid w:val="002F3CFF"/>
    <w:rsid w:val="002F4916"/>
    <w:rsid w:val="002F5151"/>
    <w:rsid w:val="002F5850"/>
    <w:rsid w:val="002F7E3F"/>
    <w:rsid w:val="003008A7"/>
    <w:rsid w:val="003014FD"/>
    <w:rsid w:val="003016AD"/>
    <w:rsid w:val="00311898"/>
    <w:rsid w:val="00311BF9"/>
    <w:rsid w:val="00315AA1"/>
    <w:rsid w:val="00317CBD"/>
    <w:rsid w:val="00320FF8"/>
    <w:rsid w:val="00324918"/>
    <w:rsid w:val="00325137"/>
    <w:rsid w:val="003267D4"/>
    <w:rsid w:val="00326977"/>
    <w:rsid w:val="00327098"/>
    <w:rsid w:val="00332EC1"/>
    <w:rsid w:val="00336791"/>
    <w:rsid w:val="003409B3"/>
    <w:rsid w:val="00341337"/>
    <w:rsid w:val="00343FE1"/>
    <w:rsid w:val="00345FAA"/>
    <w:rsid w:val="0034764A"/>
    <w:rsid w:val="00350B86"/>
    <w:rsid w:val="00355142"/>
    <w:rsid w:val="003567AD"/>
    <w:rsid w:val="00357CBB"/>
    <w:rsid w:val="00360C25"/>
    <w:rsid w:val="00367B43"/>
    <w:rsid w:val="00370B08"/>
    <w:rsid w:val="003747F5"/>
    <w:rsid w:val="00376974"/>
    <w:rsid w:val="00376E15"/>
    <w:rsid w:val="00383358"/>
    <w:rsid w:val="00387314"/>
    <w:rsid w:val="00387937"/>
    <w:rsid w:val="00390E15"/>
    <w:rsid w:val="003953D3"/>
    <w:rsid w:val="003964E1"/>
    <w:rsid w:val="003A14B6"/>
    <w:rsid w:val="003A181B"/>
    <w:rsid w:val="003A3434"/>
    <w:rsid w:val="003A4732"/>
    <w:rsid w:val="003A4FD1"/>
    <w:rsid w:val="003A6F3A"/>
    <w:rsid w:val="003A7A48"/>
    <w:rsid w:val="003A7E88"/>
    <w:rsid w:val="003B2226"/>
    <w:rsid w:val="003B24B6"/>
    <w:rsid w:val="003B2E18"/>
    <w:rsid w:val="003C3BC4"/>
    <w:rsid w:val="003C5FC8"/>
    <w:rsid w:val="003D47EA"/>
    <w:rsid w:val="003D48F8"/>
    <w:rsid w:val="003E3DE2"/>
    <w:rsid w:val="003E3F4A"/>
    <w:rsid w:val="003E40D1"/>
    <w:rsid w:val="003E77A1"/>
    <w:rsid w:val="003F1964"/>
    <w:rsid w:val="00402D9F"/>
    <w:rsid w:val="00426A92"/>
    <w:rsid w:val="004316C7"/>
    <w:rsid w:val="00433364"/>
    <w:rsid w:val="0043543D"/>
    <w:rsid w:val="004370C0"/>
    <w:rsid w:val="00437237"/>
    <w:rsid w:val="00437D6C"/>
    <w:rsid w:val="00441736"/>
    <w:rsid w:val="0044390B"/>
    <w:rsid w:val="0044519F"/>
    <w:rsid w:val="004462F7"/>
    <w:rsid w:val="00446BD0"/>
    <w:rsid w:val="0045037D"/>
    <w:rsid w:val="004503E6"/>
    <w:rsid w:val="00451891"/>
    <w:rsid w:val="00454A85"/>
    <w:rsid w:val="00460C42"/>
    <w:rsid w:val="0046114D"/>
    <w:rsid w:val="00461766"/>
    <w:rsid w:val="00466AB9"/>
    <w:rsid w:val="00471F4D"/>
    <w:rsid w:val="00475411"/>
    <w:rsid w:val="00476370"/>
    <w:rsid w:val="00476F5C"/>
    <w:rsid w:val="00477E8F"/>
    <w:rsid w:val="00481DB4"/>
    <w:rsid w:val="004861FD"/>
    <w:rsid w:val="00490688"/>
    <w:rsid w:val="004907FF"/>
    <w:rsid w:val="00492AE9"/>
    <w:rsid w:val="00493E4C"/>
    <w:rsid w:val="00494EF8"/>
    <w:rsid w:val="00497993"/>
    <w:rsid w:val="004A0102"/>
    <w:rsid w:val="004A1A95"/>
    <w:rsid w:val="004A5258"/>
    <w:rsid w:val="004A545D"/>
    <w:rsid w:val="004A559E"/>
    <w:rsid w:val="004A714A"/>
    <w:rsid w:val="004B0D3D"/>
    <w:rsid w:val="004B21C6"/>
    <w:rsid w:val="004B2FEB"/>
    <w:rsid w:val="004C14E3"/>
    <w:rsid w:val="004C778E"/>
    <w:rsid w:val="004D3CE0"/>
    <w:rsid w:val="004D75BF"/>
    <w:rsid w:val="004E474E"/>
    <w:rsid w:val="004F1468"/>
    <w:rsid w:val="004F4146"/>
    <w:rsid w:val="004F5B25"/>
    <w:rsid w:val="004F5B5A"/>
    <w:rsid w:val="00504492"/>
    <w:rsid w:val="005073A6"/>
    <w:rsid w:val="0051183B"/>
    <w:rsid w:val="00511B85"/>
    <w:rsid w:val="005171E3"/>
    <w:rsid w:val="00517883"/>
    <w:rsid w:val="0052175E"/>
    <w:rsid w:val="00524ADB"/>
    <w:rsid w:val="00530B9B"/>
    <w:rsid w:val="00530C65"/>
    <w:rsid w:val="00532BE3"/>
    <w:rsid w:val="00540E43"/>
    <w:rsid w:val="00542B8A"/>
    <w:rsid w:val="00542D5D"/>
    <w:rsid w:val="00545502"/>
    <w:rsid w:val="0054668A"/>
    <w:rsid w:val="0054748B"/>
    <w:rsid w:val="0055065F"/>
    <w:rsid w:val="00551A6D"/>
    <w:rsid w:val="005556C1"/>
    <w:rsid w:val="00555D33"/>
    <w:rsid w:val="00565634"/>
    <w:rsid w:val="005677BC"/>
    <w:rsid w:val="0057145D"/>
    <w:rsid w:val="0057268D"/>
    <w:rsid w:val="005733C7"/>
    <w:rsid w:val="005826BC"/>
    <w:rsid w:val="00584A1E"/>
    <w:rsid w:val="0058771B"/>
    <w:rsid w:val="005912D0"/>
    <w:rsid w:val="005912F8"/>
    <w:rsid w:val="005A262C"/>
    <w:rsid w:val="005A4048"/>
    <w:rsid w:val="005A498E"/>
    <w:rsid w:val="005B03B8"/>
    <w:rsid w:val="005B4980"/>
    <w:rsid w:val="005C03A3"/>
    <w:rsid w:val="005C0FA8"/>
    <w:rsid w:val="005C7342"/>
    <w:rsid w:val="005D15C7"/>
    <w:rsid w:val="005D32BF"/>
    <w:rsid w:val="005D3E08"/>
    <w:rsid w:val="005D6391"/>
    <w:rsid w:val="005E2954"/>
    <w:rsid w:val="005E295F"/>
    <w:rsid w:val="005E30D6"/>
    <w:rsid w:val="005E76DC"/>
    <w:rsid w:val="005E7D50"/>
    <w:rsid w:val="005F0F7B"/>
    <w:rsid w:val="005F436D"/>
    <w:rsid w:val="005F49DC"/>
    <w:rsid w:val="00602228"/>
    <w:rsid w:val="00602EB8"/>
    <w:rsid w:val="0060359F"/>
    <w:rsid w:val="00605FD4"/>
    <w:rsid w:val="006134B4"/>
    <w:rsid w:val="006154D2"/>
    <w:rsid w:val="00616903"/>
    <w:rsid w:val="00625010"/>
    <w:rsid w:val="00627790"/>
    <w:rsid w:val="00631B69"/>
    <w:rsid w:val="00635232"/>
    <w:rsid w:val="0063643D"/>
    <w:rsid w:val="0063751A"/>
    <w:rsid w:val="00637A4B"/>
    <w:rsid w:val="006438A3"/>
    <w:rsid w:val="0065684B"/>
    <w:rsid w:val="00656C38"/>
    <w:rsid w:val="00657E0A"/>
    <w:rsid w:val="0066111C"/>
    <w:rsid w:val="00661312"/>
    <w:rsid w:val="00665412"/>
    <w:rsid w:val="00665B5E"/>
    <w:rsid w:val="006702E4"/>
    <w:rsid w:val="006718DD"/>
    <w:rsid w:val="00672B58"/>
    <w:rsid w:val="00672B96"/>
    <w:rsid w:val="00672BB7"/>
    <w:rsid w:val="00673835"/>
    <w:rsid w:val="006744DE"/>
    <w:rsid w:val="00677213"/>
    <w:rsid w:val="006801BB"/>
    <w:rsid w:val="00684B67"/>
    <w:rsid w:val="006914DB"/>
    <w:rsid w:val="00693299"/>
    <w:rsid w:val="00693E78"/>
    <w:rsid w:val="006953F2"/>
    <w:rsid w:val="00696322"/>
    <w:rsid w:val="00697385"/>
    <w:rsid w:val="006A13CF"/>
    <w:rsid w:val="006A231E"/>
    <w:rsid w:val="006A23EE"/>
    <w:rsid w:val="006A528C"/>
    <w:rsid w:val="006A594B"/>
    <w:rsid w:val="006A6C4A"/>
    <w:rsid w:val="006B1D88"/>
    <w:rsid w:val="006B5BFA"/>
    <w:rsid w:val="006C5597"/>
    <w:rsid w:val="006C735B"/>
    <w:rsid w:val="006C7464"/>
    <w:rsid w:val="006E20F2"/>
    <w:rsid w:val="006E4E8A"/>
    <w:rsid w:val="006F0F71"/>
    <w:rsid w:val="006F29EF"/>
    <w:rsid w:val="006F2C05"/>
    <w:rsid w:val="006F5538"/>
    <w:rsid w:val="00702F17"/>
    <w:rsid w:val="00703F7F"/>
    <w:rsid w:val="007076E0"/>
    <w:rsid w:val="00710EF9"/>
    <w:rsid w:val="007114F4"/>
    <w:rsid w:val="0071470C"/>
    <w:rsid w:val="007151ED"/>
    <w:rsid w:val="00716F81"/>
    <w:rsid w:val="00721DB4"/>
    <w:rsid w:val="0072505A"/>
    <w:rsid w:val="0072523F"/>
    <w:rsid w:val="00725A3E"/>
    <w:rsid w:val="007262F3"/>
    <w:rsid w:val="00730372"/>
    <w:rsid w:val="00733E20"/>
    <w:rsid w:val="00737158"/>
    <w:rsid w:val="00737E6F"/>
    <w:rsid w:val="0074021E"/>
    <w:rsid w:val="00741C6E"/>
    <w:rsid w:val="007430B7"/>
    <w:rsid w:val="00744A97"/>
    <w:rsid w:val="00751610"/>
    <w:rsid w:val="00752F10"/>
    <w:rsid w:val="007547AB"/>
    <w:rsid w:val="00756A20"/>
    <w:rsid w:val="00757E18"/>
    <w:rsid w:val="007603AB"/>
    <w:rsid w:val="00760BCE"/>
    <w:rsid w:val="00763269"/>
    <w:rsid w:val="00766B88"/>
    <w:rsid w:val="0077594B"/>
    <w:rsid w:val="0077612F"/>
    <w:rsid w:val="007765E8"/>
    <w:rsid w:val="00777A89"/>
    <w:rsid w:val="00782680"/>
    <w:rsid w:val="00785B22"/>
    <w:rsid w:val="00797377"/>
    <w:rsid w:val="007977DF"/>
    <w:rsid w:val="007A4BC1"/>
    <w:rsid w:val="007B2BC0"/>
    <w:rsid w:val="007B4F0F"/>
    <w:rsid w:val="007B67E8"/>
    <w:rsid w:val="007C55A2"/>
    <w:rsid w:val="007C7D83"/>
    <w:rsid w:val="007D01D4"/>
    <w:rsid w:val="007D51D0"/>
    <w:rsid w:val="007D73AB"/>
    <w:rsid w:val="007E2491"/>
    <w:rsid w:val="007E36FA"/>
    <w:rsid w:val="007E5D4A"/>
    <w:rsid w:val="007F0ADF"/>
    <w:rsid w:val="007F5413"/>
    <w:rsid w:val="007F7BD4"/>
    <w:rsid w:val="00803C16"/>
    <w:rsid w:val="00806718"/>
    <w:rsid w:val="00812D97"/>
    <w:rsid w:val="008217D1"/>
    <w:rsid w:val="008220B0"/>
    <w:rsid w:val="00825E03"/>
    <w:rsid w:val="00832635"/>
    <w:rsid w:val="00834A8E"/>
    <w:rsid w:val="0084004E"/>
    <w:rsid w:val="00841EC8"/>
    <w:rsid w:val="008428C9"/>
    <w:rsid w:val="008531F1"/>
    <w:rsid w:val="00855382"/>
    <w:rsid w:val="00862954"/>
    <w:rsid w:val="00865A71"/>
    <w:rsid w:val="00871E1E"/>
    <w:rsid w:val="0087210A"/>
    <w:rsid w:val="00872C5B"/>
    <w:rsid w:val="00873C3E"/>
    <w:rsid w:val="00875846"/>
    <w:rsid w:val="00875B48"/>
    <w:rsid w:val="0088009B"/>
    <w:rsid w:val="00882E09"/>
    <w:rsid w:val="0088365C"/>
    <w:rsid w:val="008878D0"/>
    <w:rsid w:val="00890743"/>
    <w:rsid w:val="00892803"/>
    <w:rsid w:val="008A1918"/>
    <w:rsid w:val="008A2D79"/>
    <w:rsid w:val="008A2FB6"/>
    <w:rsid w:val="008B1388"/>
    <w:rsid w:val="008B2FE8"/>
    <w:rsid w:val="008B43D8"/>
    <w:rsid w:val="008B50B9"/>
    <w:rsid w:val="008B7DCF"/>
    <w:rsid w:val="008C50DE"/>
    <w:rsid w:val="008C68A1"/>
    <w:rsid w:val="008C716E"/>
    <w:rsid w:val="008C72A0"/>
    <w:rsid w:val="008D414B"/>
    <w:rsid w:val="008E4090"/>
    <w:rsid w:val="008E51E4"/>
    <w:rsid w:val="008E70F3"/>
    <w:rsid w:val="008F20F7"/>
    <w:rsid w:val="008F4D01"/>
    <w:rsid w:val="00902A00"/>
    <w:rsid w:val="00906B01"/>
    <w:rsid w:val="00914FF6"/>
    <w:rsid w:val="00916FD0"/>
    <w:rsid w:val="00917465"/>
    <w:rsid w:val="00927E6C"/>
    <w:rsid w:val="00930100"/>
    <w:rsid w:val="00930BEC"/>
    <w:rsid w:val="00930CA6"/>
    <w:rsid w:val="00931E7E"/>
    <w:rsid w:val="00932481"/>
    <w:rsid w:val="009329E4"/>
    <w:rsid w:val="009356AB"/>
    <w:rsid w:val="00935BE4"/>
    <w:rsid w:val="00941616"/>
    <w:rsid w:val="00942613"/>
    <w:rsid w:val="00942706"/>
    <w:rsid w:val="009443F0"/>
    <w:rsid w:val="009452AD"/>
    <w:rsid w:val="0095004C"/>
    <w:rsid w:val="009522FC"/>
    <w:rsid w:val="00955701"/>
    <w:rsid w:val="009564A3"/>
    <w:rsid w:val="00957D0D"/>
    <w:rsid w:val="00962CD2"/>
    <w:rsid w:val="00965531"/>
    <w:rsid w:val="00971EE1"/>
    <w:rsid w:val="0097615D"/>
    <w:rsid w:val="00976DBB"/>
    <w:rsid w:val="009818B0"/>
    <w:rsid w:val="00981E90"/>
    <w:rsid w:val="00984818"/>
    <w:rsid w:val="00984994"/>
    <w:rsid w:val="00985694"/>
    <w:rsid w:val="00985F9A"/>
    <w:rsid w:val="00987D32"/>
    <w:rsid w:val="00990B27"/>
    <w:rsid w:val="00992BC3"/>
    <w:rsid w:val="009A1D73"/>
    <w:rsid w:val="009A38B8"/>
    <w:rsid w:val="009A58B4"/>
    <w:rsid w:val="009A6632"/>
    <w:rsid w:val="009B0A00"/>
    <w:rsid w:val="009B2A3E"/>
    <w:rsid w:val="009B3A7C"/>
    <w:rsid w:val="009B41D2"/>
    <w:rsid w:val="009B642D"/>
    <w:rsid w:val="009C099A"/>
    <w:rsid w:val="009C246B"/>
    <w:rsid w:val="009C265B"/>
    <w:rsid w:val="009C590D"/>
    <w:rsid w:val="009C7C7E"/>
    <w:rsid w:val="009D01E8"/>
    <w:rsid w:val="009D117F"/>
    <w:rsid w:val="009D125D"/>
    <w:rsid w:val="009E166B"/>
    <w:rsid w:val="009E295C"/>
    <w:rsid w:val="009E38E2"/>
    <w:rsid w:val="009E4135"/>
    <w:rsid w:val="009E635F"/>
    <w:rsid w:val="009E663B"/>
    <w:rsid w:val="009E6FA2"/>
    <w:rsid w:val="009E72B1"/>
    <w:rsid w:val="009F1B43"/>
    <w:rsid w:val="009F318A"/>
    <w:rsid w:val="009F5081"/>
    <w:rsid w:val="00A001E9"/>
    <w:rsid w:val="00A057BE"/>
    <w:rsid w:val="00A12BF5"/>
    <w:rsid w:val="00A13A16"/>
    <w:rsid w:val="00A13B5D"/>
    <w:rsid w:val="00A13BD2"/>
    <w:rsid w:val="00A1773E"/>
    <w:rsid w:val="00A26852"/>
    <w:rsid w:val="00A26A00"/>
    <w:rsid w:val="00A274A7"/>
    <w:rsid w:val="00A300A2"/>
    <w:rsid w:val="00A32EEE"/>
    <w:rsid w:val="00A3482C"/>
    <w:rsid w:val="00A45442"/>
    <w:rsid w:val="00A541D4"/>
    <w:rsid w:val="00A5433D"/>
    <w:rsid w:val="00A5482F"/>
    <w:rsid w:val="00A601AE"/>
    <w:rsid w:val="00A60D42"/>
    <w:rsid w:val="00A63FAA"/>
    <w:rsid w:val="00A6782D"/>
    <w:rsid w:val="00A728A3"/>
    <w:rsid w:val="00A7323A"/>
    <w:rsid w:val="00A745C1"/>
    <w:rsid w:val="00A76799"/>
    <w:rsid w:val="00A76E50"/>
    <w:rsid w:val="00A83933"/>
    <w:rsid w:val="00A84CE9"/>
    <w:rsid w:val="00A87DB5"/>
    <w:rsid w:val="00A906AF"/>
    <w:rsid w:val="00A906B5"/>
    <w:rsid w:val="00A926D4"/>
    <w:rsid w:val="00A94542"/>
    <w:rsid w:val="00AA1387"/>
    <w:rsid w:val="00AA5AD2"/>
    <w:rsid w:val="00AA5E74"/>
    <w:rsid w:val="00AB2DE8"/>
    <w:rsid w:val="00AC0303"/>
    <w:rsid w:val="00AC22A3"/>
    <w:rsid w:val="00AC2395"/>
    <w:rsid w:val="00AC2D6D"/>
    <w:rsid w:val="00AC339F"/>
    <w:rsid w:val="00AC5F68"/>
    <w:rsid w:val="00AC6AD5"/>
    <w:rsid w:val="00AC77CF"/>
    <w:rsid w:val="00AD0157"/>
    <w:rsid w:val="00AD4919"/>
    <w:rsid w:val="00AE0527"/>
    <w:rsid w:val="00AE1035"/>
    <w:rsid w:val="00AE16A4"/>
    <w:rsid w:val="00AE6024"/>
    <w:rsid w:val="00AE6AF6"/>
    <w:rsid w:val="00AE6E31"/>
    <w:rsid w:val="00AF2A07"/>
    <w:rsid w:val="00AF4BFC"/>
    <w:rsid w:val="00B04CD0"/>
    <w:rsid w:val="00B05FEC"/>
    <w:rsid w:val="00B12D93"/>
    <w:rsid w:val="00B12E8C"/>
    <w:rsid w:val="00B172EC"/>
    <w:rsid w:val="00B219DE"/>
    <w:rsid w:val="00B273A5"/>
    <w:rsid w:val="00B30D0D"/>
    <w:rsid w:val="00B313C0"/>
    <w:rsid w:val="00B319B5"/>
    <w:rsid w:val="00B41CB4"/>
    <w:rsid w:val="00B42338"/>
    <w:rsid w:val="00B42D41"/>
    <w:rsid w:val="00B42E63"/>
    <w:rsid w:val="00B46243"/>
    <w:rsid w:val="00B47BF2"/>
    <w:rsid w:val="00B544E3"/>
    <w:rsid w:val="00B63AC6"/>
    <w:rsid w:val="00B64398"/>
    <w:rsid w:val="00B652F6"/>
    <w:rsid w:val="00B660F0"/>
    <w:rsid w:val="00B676BD"/>
    <w:rsid w:val="00B7063C"/>
    <w:rsid w:val="00B718C2"/>
    <w:rsid w:val="00B87D38"/>
    <w:rsid w:val="00B978D3"/>
    <w:rsid w:val="00BA0468"/>
    <w:rsid w:val="00BA097C"/>
    <w:rsid w:val="00BA5729"/>
    <w:rsid w:val="00BB3010"/>
    <w:rsid w:val="00BB6FA6"/>
    <w:rsid w:val="00BB7537"/>
    <w:rsid w:val="00BB7792"/>
    <w:rsid w:val="00BC3888"/>
    <w:rsid w:val="00BD23F4"/>
    <w:rsid w:val="00BD3F96"/>
    <w:rsid w:val="00BD65DC"/>
    <w:rsid w:val="00BD6790"/>
    <w:rsid w:val="00BD7803"/>
    <w:rsid w:val="00BE0FB2"/>
    <w:rsid w:val="00BE1FCB"/>
    <w:rsid w:val="00BE37CF"/>
    <w:rsid w:val="00BE4C87"/>
    <w:rsid w:val="00BE50C4"/>
    <w:rsid w:val="00BF14DC"/>
    <w:rsid w:val="00C01ADB"/>
    <w:rsid w:val="00C04049"/>
    <w:rsid w:val="00C07B25"/>
    <w:rsid w:val="00C1456C"/>
    <w:rsid w:val="00C16CC9"/>
    <w:rsid w:val="00C17127"/>
    <w:rsid w:val="00C17493"/>
    <w:rsid w:val="00C231A7"/>
    <w:rsid w:val="00C231F2"/>
    <w:rsid w:val="00C31C5B"/>
    <w:rsid w:val="00C32127"/>
    <w:rsid w:val="00C33A96"/>
    <w:rsid w:val="00C45298"/>
    <w:rsid w:val="00C456A8"/>
    <w:rsid w:val="00C52010"/>
    <w:rsid w:val="00C57142"/>
    <w:rsid w:val="00C606AD"/>
    <w:rsid w:val="00C61698"/>
    <w:rsid w:val="00C63502"/>
    <w:rsid w:val="00C66B21"/>
    <w:rsid w:val="00C71D8B"/>
    <w:rsid w:val="00C75FBF"/>
    <w:rsid w:val="00C76EFB"/>
    <w:rsid w:val="00C91307"/>
    <w:rsid w:val="00C9176D"/>
    <w:rsid w:val="00C93D89"/>
    <w:rsid w:val="00C93F8A"/>
    <w:rsid w:val="00C94082"/>
    <w:rsid w:val="00C945F2"/>
    <w:rsid w:val="00C95A8C"/>
    <w:rsid w:val="00C968F2"/>
    <w:rsid w:val="00C96933"/>
    <w:rsid w:val="00CA3F6B"/>
    <w:rsid w:val="00CB0D45"/>
    <w:rsid w:val="00CB134A"/>
    <w:rsid w:val="00CB19AF"/>
    <w:rsid w:val="00CB2C3F"/>
    <w:rsid w:val="00CB46BD"/>
    <w:rsid w:val="00CB5E6C"/>
    <w:rsid w:val="00CC1A54"/>
    <w:rsid w:val="00CC3C58"/>
    <w:rsid w:val="00CC7F02"/>
    <w:rsid w:val="00CD001D"/>
    <w:rsid w:val="00CD2EFD"/>
    <w:rsid w:val="00CD6919"/>
    <w:rsid w:val="00CE177F"/>
    <w:rsid w:val="00CE6E9C"/>
    <w:rsid w:val="00CF08E7"/>
    <w:rsid w:val="00CF2F03"/>
    <w:rsid w:val="00D01988"/>
    <w:rsid w:val="00D1081C"/>
    <w:rsid w:val="00D1155A"/>
    <w:rsid w:val="00D11C20"/>
    <w:rsid w:val="00D14C0C"/>
    <w:rsid w:val="00D16BDE"/>
    <w:rsid w:val="00D16C44"/>
    <w:rsid w:val="00D17B2A"/>
    <w:rsid w:val="00D17F2B"/>
    <w:rsid w:val="00D21B76"/>
    <w:rsid w:val="00D262A9"/>
    <w:rsid w:val="00D308FE"/>
    <w:rsid w:val="00D3106C"/>
    <w:rsid w:val="00D31B32"/>
    <w:rsid w:val="00D335C7"/>
    <w:rsid w:val="00D376F8"/>
    <w:rsid w:val="00D46F1D"/>
    <w:rsid w:val="00D50A6E"/>
    <w:rsid w:val="00D52AE5"/>
    <w:rsid w:val="00D601E1"/>
    <w:rsid w:val="00D611DB"/>
    <w:rsid w:val="00D61585"/>
    <w:rsid w:val="00D64833"/>
    <w:rsid w:val="00D6525A"/>
    <w:rsid w:val="00D6587A"/>
    <w:rsid w:val="00D66843"/>
    <w:rsid w:val="00D74B72"/>
    <w:rsid w:val="00D82AEE"/>
    <w:rsid w:val="00D8719A"/>
    <w:rsid w:val="00D87C81"/>
    <w:rsid w:val="00D91433"/>
    <w:rsid w:val="00DB07A6"/>
    <w:rsid w:val="00DB21E5"/>
    <w:rsid w:val="00DB34B3"/>
    <w:rsid w:val="00DB5326"/>
    <w:rsid w:val="00DC4B47"/>
    <w:rsid w:val="00DC6643"/>
    <w:rsid w:val="00DD367E"/>
    <w:rsid w:val="00DE5DFF"/>
    <w:rsid w:val="00DE6045"/>
    <w:rsid w:val="00DE6B4C"/>
    <w:rsid w:val="00DF10AB"/>
    <w:rsid w:val="00E018DE"/>
    <w:rsid w:val="00E10585"/>
    <w:rsid w:val="00E12712"/>
    <w:rsid w:val="00E128C6"/>
    <w:rsid w:val="00E15271"/>
    <w:rsid w:val="00E1528D"/>
    <w:rsid w:val="00E15E35"/>
    <w:rsid w:val="00E17213"/>
    <w:rsid w:val="00E22B32"/>
    <w:rsid w:val="00E250FF"/>
    <w:rsid w:val="00E25CA4"/>
    <w:rsid w:val="00E27F64"/>
    <w:rsid w:val="00E32B62"/>
    <w:rsid w:val="00E35919"/>
    <w:rsid w:val="00E367CE"/>
    <w:rsid w:val="00E46B3F"/>
    <w:rsid w:val="00E4754E"/>
    <w:rsid w:val="00E47B77"/>
    <w:rsid w:val="00E50308"/>
    <w:rsid w:val="00E508E4"/>
    <w:rsid w:val="00E50CC2"/>
    <w:rsid w:val="00E529A9"/>
    <w:rsid w:val="00E56EA4"/>
    <w:rsid w:val="00E6105C"/>
    <w:rsid w:val="00E64F14"/>
    <w:rsid w:val="00E65EA3"/>
    <w:rsid w:val="00E6747F"/>
    <w:rsid w:val="00E758AE"/>
    <w:rsid w:val="00E763DF"/>
    <w:rsid w:val="00E907AC"/>
    <w:rsid w:val="00E9100F"/>
    <w:rsid w:val="00E92382"/>
    <w:rsid w:val="00E92C0C"/>
    <w:rsid w:val="00E9337A"/>
    <w:rsid w:val="00E95B38"/>
    <w:rsid w:val="00E96228"/>
    <w:rsid w:val="00EA3F2E"/>
    <w:rsid w:val="00EA4F78"/>
    <w:rsid w:val="00EB37E6"/>
    <w:rsid w:val="00EB6829"/>
    <w:rsid w:val="00EC008B"/>
    <w:rsid w:val="00EC17F7"/>
    <w:rsid w:val="00EC548D"/>
    <w:rsid w:val="00EC5FD4"/>
    <w:rsid w:val="00EC5FE5"/>
    <w:rsid w:val="00EC6620"/>
    <w:rsid w:val="00EC72CC"/>
    <w:rsid w:val="00ED749E"/>
    <w:rsid w:val="00ED76BA"/>
    <w:rsid w:val="00EE0F00"/>
    <w:rsid w:val="00EF0B88"/>
    <w:rsid w:val="00EF25C5"/>
    <w:rsid w:val="00EF6BE0"/>
    <w:rsid w:val="00EF7BB3"/>
    <w:rsid w:val="00F15EB5"/>
    <w:rsid w:val="00F17FD0"/>
    <w:rsid w:val="00F20E32"/>
    <w:rsid w:val="00F21FD4"/>
    <w:rsid w:val="00F24528"/>
    <w:rsid w:val="00F3132D"/>
    <w:rsid w:val="00F313A6"/>
    <w:rsid w:val="00F36129"/>
    <w:rsid w:val="00F442EB"/>
    <w:rsid w:val="00F5151A"/>
    <w:rsid w:val="00F5346D"/>
    <w:rsid w:val="00F546D9"/>
    <w:rsid w:val="00F615CB"/>
    <w:rsid w:val="00F72E94"/>
    <w:rsid w:val="00F740B9"/>
    <w:rsid w:val="00F90113"/>
    <w:rsid w:val="00F915C5"/>
    <w:rsid w:val="00F922F7"/>
    <w:rsid w:val="00F94DB2"/>
    <w:rsid w:val="00F976FB"/>
    <w:rsid w:val="00FA048C"/>
    <w:rsid w:val="00FA3564"/>
    <w:rsid w:val="00FA7065"/>
    <w:rsid w:val="00FA7766"/>
    <w:rsid w:val="00FB282F"/>
    <w:rsid w:val="00FB55E5"/>
    <w:rsid w:val="00FC2A47"/>
    <w:rsid w:val="00FD0C4C"/>
    <w:rsid w:val="00FD1948"/>
    <w:rsid w:val="00FD4B1E"/>
    <w:rsid w:val="00FE1F07"/>
    <w:rsid w:val="00FE32AE"/>
    <w:rsid w:val="00FE4D4F"/>
    <w:rsid w:val="00FF07BB"/>
    <w:rsid w:val="00FF1841"/>
    <w:rsid w:val="00FF1E26"/>
    <w:rsid w:val="00FF4528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64D3F8-CD63-4420-91AE-51F2E817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paragraph" w:styleId="Revize">
    <w:name w:val="Revision"/>
    <w:hidden/>
    <w:uiPriority w:val="99"/>
    <w:semiHidden/>
    <w:rsid w:val="004B0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c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9F65-E6A6-4A8E-9037-ACE5CE35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770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CEEC Research</cp:lastModifiedBy>
  <cp:revision>7</cp:revision>
  <dcterms:created xsi:type="dcterms:W3CDTF">2015-07-24T05:48:00Z</dcterms:created>
  <dcterms:modified xsi:type="dcterms:W3CDTF">2015-07-28T15:08:00Z</dcterms:modified>
</cp:coreProperties>
</file>